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4D04B" w14:textId="6724AFDE" w:rsidR="00466BE6" w:rsidRPr="00C22A67" w:rsidRDefault="00466BE6" w:rsidP="00466BE6">
      <w:pPr>
        <w:widowControl w:val="0"/>
        <w:tabs>
          <w:tab w:val="left" w:pos="1701"/>
          <w:tab w:val="right" w:pos="9923"/>
        </w:tabs>
        <w:spacing w:before="120"/>
        <w:rPr>
          <w:rFonts w:ascii="Arial" w:hAnsi="Arial" w:cs="Arial"/>
          <w:b/>
          <w:sz w:val="24"/>
          <w:szCs w:val="24"/>
          <w:lang w:val="en-GB"/>
        </w:rPr>
      </w:pPr>
      <w:bookmarkStart w:id="0" w:name="OLE_LINK39"/>
      <w:bookmarkStart w:id="1" w:name="OLE_LINK38"/>
      <w:bookmarkStart w:id="2" w:name="OLE_LINK37"/>
      <w:bookmarkStart w:id="3" w:name="OLE_LINK137"/>
      <w:bookmarkStart w:id="4" w:name="OLE_LINK138"/>
      <w:r w:rsidRPr="002527DB">
        <w:rPr>
          <w:rFonts w:ascii="Arial" w:eastAsia="MS Mincho" w:hAnsi="Arial" w:cs="Arial"/>
          <w:b/>
          <w:sz w:val="24"/>
          <w:szCs w:val="24"/>
          <w:lang w:val="en-GB" w:eastAsia="x-none"/>
        </w:rPr>
        <w:t>3GPP TSG-RA</w:t>
      </w:r>
      <w:r w:rsidR="003B491A">
        <w:rPr>
          <w:rFonts w:ascii="Arial" w:eastAsia="MS Mincho" w:hAnsi="Arial" w:cs="Arial"/>
          <w:b/>
          <w:sz w:val="24"/>
          <w:szCs w:val="24"/>
          <w:lang w:val="en-GB" w:eastAsia="x-none"/>
        </w:rPr>
        <w:t>N WG2 Meeting #108</w:t>
      </w:r>
      <w:r w:rsidRPr="002527DB">
        <w:rPr>
          <w:rFonts w:ascii="Arial" w:eastAsia="MS Mincho" w:hAnsi="Arial" w:cs="Arial"/>
          <w:b/>
          <w:sz w:val="24"/>
          <w:szCs w:val="24"/>
          <w:lang w:val="en-GB" w:eastAsia="x-none"/>
        </w:rPr>
        <w:tab/>
        <w:t>R2-19</w:t>
      </w:r>
      <w:r w:rsidR="002B1FFE">
        <w:rPr>
          <w:rFonts w:ascii="Arial" w:eastAsia="MS Mincho" w:hAnsi="Arial" w:cs="Arial"/>
          <w:b/>
          <w:sz w:val="24"/>
          <w:szCs w:val="24"/>
          <w:lang w:val="en-GB" w:eastAsia="x-none"/>
        </w:rPr>
        <w:t>14888</w:t>
      </w:r>
    </w:p>
    <w:p w14:paraId="1F27AD9B" w14:textId="128314F0" w:rsidR="00466BE6" w:rsidRPr="00804DA5" w:rsidRDefault="003B491A" w:rsidP="00466BE6">
      <w:pPr>
        <w:widowControl w:val="0"/>
        <w:tabs>
          <w:tab w:val="left" w:pos="1701"/>
          <w:tab w:val="right" w:pos="9923"/>
        </w:tabs>
        <w:spacing w:before="120"/>
        <w:rPr>
          <w:rFonts w:ascii="Arial" w:eastAsia="MS Mincho" w:hAnsi="Arial" w:cs="Arial"/>
          <w:b/>
          <w:i/>
          <w:sz w:val="24"/>
          <w:szCs w:val="24"/>
          <w:lang w:val="en-GB" w:eastAsia="x-none"/>
        </w:rPr>
      </w:pPr>
      <w:r>
        <w:rPr>
          <w:rFonts w:ascii="Arial" w:eastAsia="MS Mincho" w:hAnsi="Arial" w:cs="Arial"/>
          <w:b/>
          <w:sz w:val="24"/>
          <w:szCs w:val="24"/>
          <w:lang w:val="en-GB" w:eastAsia="x-none"/>
        </w:rPr>
        <w:t>Reno</w:t>
      </w:r>
      <w:r w:rsidR="00466BE6" w:rsidRPr="00EC697A">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NV, USA,</w:t>
      </w:r>
      <w:r w:rsidR="00466BE6" w:rsidRPr="00EC697A">
        <w:rPr>
          <w:rFonts w:ascii="Arial" w:eastAsia="MS Mincho" w:hAnsi="Arial" w:cs="Arial"/>
          <w:b/>
          <w:sz w:val="24"/>
          <w:szCs w:val="24"/>
          <w:lang w:val="en-GB" w:eastAsia="x-none"/>
        </w:rPr>
        <w:t xml:space="preserve"> 1</w:t>
      </w:r>
      <w:r w:rsidR="00333A7F">
        <w:rPr>
          <w:rFonts w:ascii="Arial" w:eastAsia="MS Mincho" w:hAnsi="Arial" w:cs="Arial"/>
          <w:b/>
          <w:sz w:val="24"/>
          <w:szCs w:val="24"/>
          <w:lang w:val="en-GB" w:eastAsia="x-none"/>
        </w:rPr>
        <w:t>8</w:t>
      </w:r>
      <w:r w:rsidR="00466BE6" w:rsidRPr="002545D5">
        <w:rPr>
          <w:rFonts w:ascii="Arial" w:eastAsia="MS Mincho" w:hAnsi="Arial" w:cs="Arial"/>
          <w:b/>
          <w:sz w:val="24"/>
          <w:szCs w:val="24"/>
          <w:vertAlign w:val="superscript"/>
          <w:lang w:val="en-GB" w:eastAsia="x-none"/>
        </w:rPr>
        <w:t>th</w:t>
      </w:r>
      <w:r w:rsidR="00187653">
        <w:rPr>
          <w:rFonts w:ascii="Arial" w:eastAsia="MS Mincho" w:hAnsi="Arial" w:cs="Arial"/>
          <w:b/>
          <w:sz w:val="24"/>
          <w:szCs w:val="24"/>
          <w:lang w:val="en-GB" w:eastAsia="x-none"/>
        </w:rPr>
        <w:t xml:space="preserve"> – 22</w:t>
      </w:r>
      <w:r w:rsidR="00187653">
        <w:rPr>
          <w:rFonts w:ascii="Arial" w:eastAsia="MS Mincho" w:hAnsi="Arial" w:cs="Arial"/>
          <w:b/>
          <w:sz w:val="24"/>
          <w:szCs w:val="24"/>
          <w:vertAlign w:val="superscript"/>
          <w:lang w:val="en-GB" w:eastAsia="x-none"/>
        </w:rPr>
        <w:t>nd</w:t>
      </w:r>
      <w:r w:rsidR="002B1FFE">
        <w:rPr>
          <w:rFonts w:ascii="Arial" w:eastAsia="MS Mincho" w:hAnsi="Arial" w:cs="Arial"/>
          <w:b/>
          <w:sz w:val="24"/>
          <w:szCs w:val="24"/>
          <w:lang w:val="en-GB" w:eastAsia="x-none"/>
        </w:rPr>
        <w:t xml:space="preserve"> November</w:t>
      </w:r>
      <w:r w:rsidR="00466BE6" w:rsidRPr="00EC697A">
        <w:rPr>
          <w:rFonts w:ascii="Arial" w:eastAsia="MS Mincho" w:hAnsi="Arial" w:cs="Arial"/>
          <w:b/>
          <w:sz w:val="24"/>
          <w:szCs w:val="24"/>
          <w:lang w:val="en-GB" w:eastAsia="x-none"/>
        </w:rPr>
        <w:t xml:space="preserve"> 2019</w:t>
      </w:r>
    </w:p>
    <w:p w14:paraId="503BDD69" w14:textId="77777777" w:rsidR="00466BE6" w:rsidRPr="002527DB" w:rsidRDefault="00466BE6" w:rsidP="00466BE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23A9F7A3" w14:textId="77777777" w:rsidR="00466BE6" w:rsidRPr="002527DB" w:rsidRDefault="00466BE6" w:rsidP="00466BE6">
      <w:pPr>
        <w:pStyle w:val="3GPPHeader"/>
        <w:rPr>
          <w:rFonts w:ascii="Arial" w:hAnsi="Arial" w:cs="Arial"/>
          <w:color w:val="FF0000"/>
          <w:szCs w:val="24"/>
          <w:lang w:eastAsia="zh-TW"/>
        </w:rPr>
      </w:pPr>
    </w:p>
    <w:p w14:paraId="4A8DF0AC" w14:textId="5F14135D" w:rsidR="00466BE6" w:rsidRPr="002527DB" w:rsidRDefault="00466BE6" w:rsidP="00466BE6">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7515E8">
        <w:rPr>
          <w:rFonts w:ascii="Arial" w:hAnsi="Arial" w:cs="Arial"/>
          <w:szCs w:val="24"/>
        </w:rPr>
        <w:t>6</w:t>
      </w:r>
      <w:r w:rsidR="008D0561">
        <w:rPr>
          <w:rFonts w:ascii="Arial" w:hAnsi="Arial" w:cs="Arial"/>
          <w:szCs w:val="24"/>
        </w:rPr>
        <w:t>.9.3.1</w:t>
      </w:r>
    </w:p>
    <w:p w14:paraId="4256C2C3" w14:textId="77777777" w:rsidR="00466BE6" w:rsidRPr="002527DB" w:rsidRDefault="00466BE6" w:rsidP="00466BE6">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t>MediaTek Inc.</w:t>
      </w:r>
    </w:p>
    <w:p w14:paraId="157A893C" w14:textId="5BAAEF7E" w:rsidR="00466BE6" w:rsidRPr="002527DB" w:rsidRDefault="00466BE6" w:rsidP="00466BE6">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187653" w:rsidRPr="00187653">
        <w:rPr>
          <w:b/>
          <w:sz w:val="24"/>
          <w:lang w:val="en-GB"/>
        </w:rPr>
        <w:t>Compliance Check for CHO Target Cell Configurations</w:t>
      </w:r>
    </w:p>
    <w:p w14:paraId="18EF86D6" w14:textId="77777777" w:rsidR="00466BE6" w:rsidRPr="002527DB" w:rsidRDefault="00466BE6" w:rsidP="00466BE6">
      <w:pPr>
        <w:pStyle w:val="3GPPHeaderArial"/>
        <w:tabs>
          <w:tab w:val="left" w:pos="1701"/>
        </w:tabs>
        <w:rPr>
          <w:b/>
          <w:sz w:val="24"/>
          <w:lang w:val="en-GB" w:eastAsia="zh-TW"/>
        </w:rPr>
      </w:pPr>
    </w:p>
    <w:p w14:paraId="38147085" w14:textId="77777777" w:rsidR="00466BE6" w:rsidRPr="002527DB" w:rsidRDefault="00466BE6" w:rsidP="00466BE6">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32D81AD" w14:textId="77777777" w:rsidR="00466BE6" w:rsidRPr="002527DB" w:rsidRDefault="00466BE6" w:rsidP="00466BE6">
      <w:pPr>
        <w:pStyle w:val="1"/>
        <w:overflowPunct w:val="0"/>
        <w:autoSpaceDE w:val="0"/>
        <w:autoSpaceDN w:val="0"/>
        <w:adjustRightInd w:val="0"/>
        <w:rPr>
          <w:rFonts w:eastAsia="新細明體" w:cs="Arial"/>
        </w:rPr>
      </w:pPr>
      <w:r w:rsidRPr="002527DB">
        <w:rPr>
          <w:rFonts w:eastAsia="新細明體" w:cs="Arial"/>
        </w:rPr>
        <w:t>Introduction</w:t>
      </w:r>
    </w:p>
    <w:p w14:paraId="03D477C8" w14:textId="6F11D702" w:rsidR="00466BE6" w:rsidRDefault="00466BE6" w:rsidP="00466BE6">
      <w:pPr>
        <w:spacing w:after="120"/>
        <w:jc w:val="both"/>
        <w:rPr>
          <w:rFonts w:ascii="Arial" w:hAnsi="Arial" w:cs="Arial"/>
          <w:sz w:val="20"/>
          <w:szCs w:val="20"/>
          <w:lang w:val="en-GB"/>
        </w:rPr>
      </w:pPr>
      <w:r w:rsidRPr="002527DB">
        <w:rPr>
          <w:rFonts w:ascii="Arial" w:hAnsi="Arial" w:cs="Arial"/>
          <w:sz w:val="20"/>
          <w:szCs w:val="20"/>
          <w:lang w:val="en-GB"/>
        </w:rPr>
        <w:t>I</w:t>
      </w:r>
      <w:r>
        <w:rPr>
          <w:rFonts w:ascii="Arial" w:hAnsi="Arial" w:cs="Arial"/>
          <w:sz w:val="20"/>
          <w:szCs w:val="20"/>
          <w:lang w:val="en-GB"/>
        </w:rPr>
        <w:t>n RAN2#107</w:t>
      </w:r>
      <w:r w:rsidR="00E07784">
        <w:rPr>
          <w:rFonts w:ascii="Arial" w:hAnsi="Arial" w:cs="Arial"/>
          <w:sz w:val="20"/>
          <w:szCs w:val="20"/>
          <w:lang w:val="en-GB"/>
        </w:rPr>
        <w:t>bis</w:t>
      </w:r>
      <w:r w:rsidRPr="002527DB">
        <w:rPr>
          <w:rFonts w:ascii="Arial" w:hAnsi="Arial" w:cs="Arial"/>
          <w:sz w:val="20"/>
          <w:szCs w:val="20"/>
          <w:lang w:val="en-GB"/>
        </w:rPr>
        <w:t xml:space="preserve"> meeting, </w:t>
      </w:r>
      <w:r w:rsidR="00E07784">
        <w:rPr>
          <w:rFonts w:ascii="Arial" w:hAnsi="Arial" w:cs="Arial"/>
          <w:sz w:val="20"/>
          <w:szCs w:val="20"/>
          <w:lang w:val="en-GB"/>
        </w:rPr>
        <w:t>we made some progress on the configuration of conditional handover (CHO). The agreements are shown below.</w:t>
      </w:r>
    </w:p>
    <w:tbl>
      <w:tblPr>
        <w:tblStyle w:val="af9"/>
        <w:tblW w:w="0" w:type="auto"/>
        <w:tblLook w:val="04A0" w:firstRow="1" w:lastRow="0" w:firstColumn="1" w:lastColumn="0" w:noHBand="0" w:noVBand="1"/>
      </w:tblPr>
      <w:tblGrid>
        <w:gridCol w:w="9629"/>
      </w:tblGrid>
      <w:tr w:rsidR="00466BE6" w14:paraId="6084E99E" w14:textId="77777777" w:rsidTr="009F0579">
        <w:tc>
          <w:tcPr>
            <w:tcW w:w="9629" w:type="dxa"/>
          </w:tcPr>
          <w:p w14:paraId="000C9951" w14:textId="77777777" w:rsidR="00F52D06" w:rsidRPr="00F52D06" w:rsidRDefault="00F52D06" w:rsidP="00F52D06">
            <w:pPr>
              <w:spacing w:after="120"/>
              <w:jc w:val="both"/>
              <w:rPr>
                <w:rFonts w:ascii="Arial" w:hAnsi="Arial" w:cs="Arial"/>
                <w:b/>
                <w:sz w:val="20"/>
                <w:szCs w:val="20"/>
                <w:lang w:val="en-GB"/>
              </w:rPr>
            </w:pPr>
            <w:r w:rsidRPr="00F52D06">
              <w:rPr>
                <w:rFonts w:ascii="Arial" w:hAnsi="Arial" w:cs="Arial"/>
                <w:b/>
                <w:sz w:val="20"/>
                <w:szCs w:val="20"/>
                <w:lang w:val="en-GB"/>
              </w:rPr>
              <w:t>Agreements</w:t>
            </w:r>
          </w:p>
          <w:p w14:paraId="7E626CCC" w14:textId="77777777" w:rsidR="00F52D06" w:rsidRPr="00F52D06" w:rsidRDefault="00F52D06" w:rsidP="00F52D06">
            <w:pPr>
              <w:spacing w:after="120"/>
              <w:rPr>
                <w:rFonts w:ascii="Arial" w:hAnsi="Arial" w:cs="Arial"/>
                <w:sz w:val="20"/>
                <w:szCs w:val="20"/>
                <w:lang w:val="en-GB"/>
              </w:rPr>
            </w:pPr>
            <w:r w:rsidRPr="00F52D06">
              <w:rPr>
                <w:rFonts w:ascii="Arial" w:hAnsi="Arial" w:cs="Arial"/>
                <w:sz w:val="20"/>
                <w:szCs w:val="20"/>
                <w:lang w:val="en-GB"/>
              </w:rPr>
              <w:t>1</w:t>
            </w:r>
            <w:r w:rsidRPr="00F52D06">
              <w:rPr>
                <w:rFonts w:ascii="Arial" w:hAnsi="Arial" w:cs="Arial"/>
                <w:sz w:val="20"/>
                <w:szCs w:val="20"/>
                <w:lang w:val="en-GB"/>
              </w:rPr>
              <w:tab/>
              <w:t>From RAN2 perspective, both source and target can trigger the modification of CHO configuration, and leave the final decision to RAN3.</w:t>
            </w:r>
          </w:p>
          <w:p w14:paraId="20F4CD0B" w14:textId="77777777" w:rsidR="00F52D06" w:rsidRPr="00F52D06" w:rsidRDefault="00F52D06" w:rsidP="00F52D06">
            <w:pPr>
              <w:spacing w:after="120"/>
              <w:rPr>
                <w:rFonts w:ascii="Arial" w:hAnsi="Arial" w:cs="Arial"/>
                <w:sz w:val="20"/>
                <w:szCs w:val="20"/>
                <w:lang w:val="en-GB"/>
              </w:rPr>
            </w:pPr>
            <w:r w:rsidRPr="00F52D06">
              <w:rPr>
                <w:rFonts w:ascii="Arial" w:hAnsi="Arial" w:cs="Arial"/>
                <w:sz w:val="20"/>
                <w:szCs w:val="20"/>
                <w:lang w:val="en-GB"/>
              </w:rPr>
              <w:t>2.</w:t>
            </w:r>
            <w:r w:rsidRPr="00F52D06">
              <w:rPr>
                <w:rFonts w:ascii="Arial" w:hAnsi="Arial" w:cs="Arial"/>
                <w:sz w:val="20"/>
                <w:szCs w:val="20"/>
                <w:lang w:val="en-GB"/>
              </w:rP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6A6AD4B8" w14:textId="77777777" w:rsidR="00F52D06" w:rsidRPr="00F52D06" w:rsidRDefault="00F52D06" w:rsidP="00F52D06">
            <w:pPr>
              <w:spacing w:after="120"/>
              <w:rPr>
                <w:rFonts w:ascii="Arial" w:hAnsi="Arial" w:cs="Arial"/>
                <w:sz w:val="20"/>
                <w:szCs w:val="20"/>
                <w:lang w:val="en-GB"/>
              </w:rPr>
            </w:pPr>
            <w:r w:rsidRPr="00F52D06">
              <w:rPr>
                <w:rFonts w:ascii="Arial" w:hAnsi="Arial" w:cs="Arial"/>
                <w:sz w:val="20"/>
                <w:szCs w:val="20"/>
                <w:lang w:val="en-GB"/>
              </w:rPr>
              <w:t>3.</w:t>
            </w:r>
            <w:r w:rsidRPr="00F52D06">
              <w:rPr>
                <w:rFonts w:ascii="Arial" w:hAnsi="Arial" w:cs="Arial"/>
                <w:sz w:val="20"/>
                <w:szCs w:val="20"/>
                <w:lang w:val="en-GB"/>
              </w:rPr>
              <w:tab/>
              <w:t>The handling of CHO configuration can be split into 2 steps as below and inform RAN4 about RAN2 agreements:</w:t>
            </w:r>
          </w:p>
          <w:p w14:paraId="1F6F79C0" w14:textId="256C85CE" w:rsidR="00F52D06" w:rsidRPr="00F52D06" w:rsidRDefault="00F443C3" w:rsidP="00F52D06">
            <w:pPr>
              <w:spacing w:after="120"/>
              <w:rPr>
                <w:rFonts w:ascii="Arial" w:hAnsi="Arial" w:cs="Arial"/>
                <w:sz w:val="20"/>
                <w:szCs w:val="20"/>
                <w:lang w:val="en-GB"/>
              </w:rPr>
            </w:pPr>
            <w:r>
              <w:rPr>
                <w:rFonts w:ascii="Arial" w:hAnsi="Arial" w:cs="Arial"/>
                <w:sz w:val="20"/>
                <w:szCs w:val="20"/>
                <w:lang w:val="en-GB"/>
              </w:rPr>
              <w:t xml:space="preserve">Step 1: Decode the </w:t>
            </w:r>
            <w:r w:rsidR="00F52D06" w:rsidRPr="00F52D06">
              <w:rPr>
                <w:rFonts w:ascii="Arial" w:hAnsi="Arial" w:cs="Arial"/>
                <w:sz w:val="20"/>
                <w:szCs w:val="20"/>
                <w:lang w:val="en-GB"/>
              </w:rPr>
              <w:t>RRCReconfiguration/RRCConnectionReconfiguration including source configuration, if present, and CHO execution conditions (both decode and configure upon reception of RRCReconfiguration/RRCConnectionReconfiguration).</w:t>
            </w:r>
          </w:p>
          <w:p w14:paraId="57512F00" w14:textId="2E7F7468" w:rsidR="00466BE6" w:rsidRDefault="00F52D06" w:rsidP="00F52D06">
            <w:pPr>
              <w:spacing w:after="60"/>
              <w:rPr>
                <w:rFonts w:ascii="Arial" w:hAnsi="Arial" w:cs="Arial"/>
                <w:sz w:val="20"/>
                <w:szCs w:val="20"/>
                <w:lang w:val="en-GB"/>
              </w:rPr>
            </w:pPr>
            <w:r w:rsidRPr="00F52D06">
              <w:rPr>
                <w:rFonts w:ascii="Arial" w:hAnsi="Arial" w:cs="Arial"/>
                <w:sz w:val="20"/>
                <w:szCs w:val="20"/>
                <w:lang w:val="en-GB"/>
              </w:rPr>
              <w:t>Step 2: Apply</w:t>
            </w:r>
            <w:r w:rsidR="00F443C3">
              <w:rPr>
                <w:rFonts w:ascii="Arial" w:hAnsi="Arial" w:cs="Arial"/>
                <w:sz w:val="20"/>
                <w:szCs w:val="20"/>
                <w:lang w:val="en-GB"/>
              </w:rPr>
              <w:t xml:space="preserve"> the target cell configuration </w:t>
            </w:r>
            <w:r w:rsidRPr="00F52D06">
              <w:rPr>
                <w:rFonts w:ascii="Arial" w:hAnsi="Arial" w:cs="Arial"/>
                <w:sz w:val="20"/>
                <w:szCs w:val="20"/>
                <w:lang w:val="en-GB"/>
              </w:rPr>
              <w:t>(i.e. a stored RRCReconfiguration/RRCConnectionReconfiguration prepared for the selected target), the UE can only do this upon meeting the CHO execution condition for the cell.</w:t>
            </w:r>
          </w:p>
        </w:tc>
      </w:tr>
    </w:tbl>
    <w:p w14:paraId="654FBED2" w14:textId="4F213082" w:rsidR="001D73FB" w:rsidRPr="007E063A" w:rsidRDefault="00466BE6" w:rsidP="007A48B2">
      <w:pPr>
        <w:spacing w:before="120" w:after="120"/>
        <w:jc w:val="both"/>
        <w:rPr>
          <w:rFonts w:ascii="Arial" w:hAnsi="Arial" w:cs="Arial"/>
          <w:sz w:val="20"/>
          <w:szCs w:val="20"/>
          <w:lang w:val="en-GB"/>
        </w:rPr>
      </w:pPr>
      <w:r>
        <w:rPr>
          <w:rFonts w:ascii="Arial" w:hAnsi="Arial" w:cs="Arial"/>
          <w:sz w:val="20"/>
          <w:szCs w:val="20"/>
          <w:lang w:val="en-GB"/>
        </w:rPr>
        <w:t>In this contribution</w:t>
      </w:r>
      <w:r w:rsidRPr="002527DB">
        <w:rPr>
          <w:rFonts w:ascii="Arial" w:hAnsi="Arial" w:cs="Arial"/>
          <w:sz w:val="20"/>
          <w:szCs w:val="20"/>
          <w:lang w:val="en-GB"/>
        </w:rPr>
        <w:t xml:space="preserve">, we further </w:t>
      </w:r>
      <w:r w:rsidR="00407137">
        <w:rPr>
          <w:rFonts w:ascii="Arial" w:hAnsi="Arial" w:cs="Arial"/>
          <w:sz w:val="20"/>
          <w:szCs w:val="20"/>
          <w:lang w:val="en-GB"/>
        </w:rPr>
        <w:t xml:space="preserve">discuss </w:t>
      </w:r>
      <w:r w:rsidR="00A7043F">
        <w:rPr>
          <w:rFonts w:ascii="Arial" w:hAnsi="Arial" w:cs="Arial"/>
          <w:sz w:val="20"/>
          <w:szCs w:val="20"/>
          <w:lang w:val="en-GB"/>
        </w:rPr>
        <w:t>the compliance check for CHO target cell configurations and related UE behaviour</w:t>
      </w:r>
      <w:r w:rsidR="003034BF">
        <w:rPr>
          <w:rFonts w:ascii="Arial" w:hAnsi="Arial" w:cs="Arial"/>
          <w:sz w:val="20"/>
          <w:szCs w:val="20"/>
          <w:lang w:val="en-GB"/>
        </w:rPr>
        <w:t>.</w:t>
      </w:r>
    </w:p>
    <w:p w14:paraId="61BEB079" w14:textId="7F0536BC" w:rsidR="008958F5" w:rsidRPr="00407137" w:rsidRDefault="00A07E02" w:rsidP="00407137">
      <w:pPr>
        <w:pStyle w:val="1"/>
        <w:overflowPunct w:val="0"/>
        <w:autoSpaceDE w:val="0"/>
        <w:autoSpaceDN w:val="0"/>
        <w:adjustRightInd w:val="0"/>
        <w:rPr>
          <w:rFonts w:eastAsia="新細明體" w:cs="Arial"/>
        </w:rPr>
      </w:pPr>
      <w:bookmarkStart w:id="5" w:name="OLE_LINK110"/>
      <w:bookmarkStart w:id="6" w:name="OLE_LINK109"/>
      <w:bookmarkEnd w:id="0"/>
      <w:bookmarkEnd w:id="1"/>
      <w:bookmarkEnd w:id="2"/>
      <w:r w:rsidRPr="007E063A">
        <w:rPr>
          <w:rFonts w:eastAsia="新細明體" w:cs="Arial"/>
        </w:rPr>
        <w:t>Discussion</w:t>
      </w:r>
      <w:bookmarkEnd w:id="5"/>
      <w:bookmarkEnd w:id="6"/>
    </w:p>
    <w:p w14:paraId="11797E11" w14:textId="1D9690CB" w:rsidR="008958F5" w:rsidRPr="008958F5" w:rsidRDefault="00F52D06" w:rsidP="008958F5">
      <w:pPr>
        <w:pStyle w:val="2"/>
      </w:pPr>
      <w:r>
        <w:t>C</w:t>
      </w:r>
      <w:r w:rsidR="006C23A3">
        <w:t>ompliance check and RRC re-establishment</w:t>
      </w:r>
      <w:r w:rsidR="000538BD">
        <w:t xml:space="preserve"> for CHO</w:t>
      </w:r>
    </w:p>
    <w:p w14:paraId="6AA18408" w14:textId="77A0C565" w:rsidR="00F443C3" w:rsidRPr="00C217DC" w:rsidRDefault="00A5244A" w:rsidP="0067302E">
      <w:pPr>
        <w:spacing w:after="120"/>
        <w:jc w:val="both"/>
        <w:rPr>
          <w:rFonts w:ascii="Arial" w:hAnsi="Arial" w:cs="Arial"/>
          <w:sz w:val="20"/>
          <w:szCs w:val="20"/>
          <w:lang w:val="en-GB"/>
        </w:rPr>
      </w:pPr>
      <w:r w:rsidRPr="00C217DC">
        <w:rPr>
          <w:rFonts w:ascii="Arial" w:hAnsi="Arial" w:cs="Arial"/>
          <w:sz w:val="20"/>
          <w:szCs w:val="20"/>
          <w:lang w:val="en-GB"/>
        </w:rPr>
        <w:t xml:space="preserve">According to RAN2 agreement, </w:t>
      </w:r>
      <w:r w:rsidR="002466A9">
        <w:rPr>
          <w:rFonts w:ascii="Arial" w:hAnsi="Arial" w:cs="Arial" w:hint="eastAsia"/>
          <w:sz w:val="20"/>
          <w:szCs w:val="20"/>
          <w:lang w:val="en-GB"/>
        </w:rPr>
        <w:t>t</w:t>
      </w:r>
      <w:r w:rsidR="002466A9" w:rsidRPr="00F52D06">
        <w:rPr>
          <w:rFonts w:ascii="Arial" w:hAnsi="Arial" w:cs="Arial"/>
          <w:sz w:val="20"/>
          <w:szCs w:val="20"/>
          <w:lang w:val="en-GB"/>
        </w:rPr>
        <w:t>he handling of CHO configur</w:t>
      </w:r>
      <w:r w:rsidR="002466A9">
        <w:rPr>
          <w:rFonts w:ascii="Arial" w:hAnsi="Arial" w:cs="Arial"/>
          <w:sz w:val="20"/>
          <w:szCs w:val="20"/>
          <w:lang w:val="en-GB"/>
        </w:rPr>
        <w:t xml:space="preserve">ation can be split into 2 steps. The </w:t>
      </w:r>
      <w:r w:rsidRPr="00C217DC">
        <w:rPr>
          <w:rFonts w:ascii="Arial" w:hAnsi="Arial" w:cs="Arial"/>
          <w:sz w:val="20"/>
          <w:szCs w:val="20"/>
          <w:lang w:val="en-GB"/>
        </w:rPr>
        <w:t xml:space="preserve">UE decodes the RRC configurations upon reception but applies the target cell configurations when the execution </w:t>
      </w:r>
      <w:r w:rsidRPr="00C217DC">
        <w:rPr>
          <w:rFonts w:ascii="Arial" w:hAnsi="Arial" w:cs="Arial" w:hint="eastAsia"/>
          <w:sz w:val="20"/>
          <w:szCs w:val="20"/>
          <w:lang w:val="en-GB"/>
        </w:rPr>
        <w:t xml:space="preserve">conditions are met. </w:t>
      </w:r>
    </w:p>
    <w:p w14:paraId="5182821E" w14:textId="6DBBFBCB" w:rsidR="008958F5" w:rsidRPr="00C217DC" w:rsidRDefault="00F443C3" w:rsidP="00943E49">
      <w:pPr>
        <w:pStyle w:val="afb"/>
        <w:numPr>
          <w:ilvl w:val="0"/>
          <w:numId w:val="6"/>
        </w:numPr>
        <w:spacing w:after="120"/>
        <w:jc w:val="both"/>
        <w:rPr>
          <w:rFonts w:ascii="Arial" w:hAnsi="Arial" w:cs="Arial"/>
          <w:lang w:eastAsia="en-US"/>
        </w:rPr>
      </w:pPr>
      <w:r w:rsidRPr="00C217DC">
        <w:rPr>
          <w:rFonts w:ascii="Arial" w:hAnsi="Arial" w:cs="Arial"/>
        </w:rPr>
        <w:t xml:space="preserve">As any other RRC </w:t>
      </w:r>
      <w:r w:rsidR="00F52D06" w:rsidRPr="00C217DC">
        <w:rPr>
          <w:rFonts w:ascii="Arial" w:hAnsi="Arial" w:cs="Arial"/>
        </w:rPr>
        <w:t>UE can check if it complies with the received target cell configuration</w:t>
      </w:r>
      <w:r w:rsidR="00A5244A" w:rsidRPr="00C217DC">
        <w:rPr>
          <w:rFonts w:ascii="Arial" w:hAnsi="Arial" w:cs="Arial"/>
        </w:rPr>
        <w:t>s (1) upon rece</w:t>
      </w:r>
      <w:r w:rsidR="00A5244A" w:rsidRPr="00C217DC">
        <w:rPr>
          <w:rFonts w:ascii="Arial" w:hAnsi="Arial" w:cs="Arial" w:hint="eastAsia"/>
        </w:rPr>
        <w:t>iv</w:t>
      </w:r>
      <w:r w:rsidR="00A5244A" w:rsidRPr="00C217DC">
        <w:rPr>
          <w:rFonts w:ascii="Arial" w:hAnsi="Arial" w:cs="Arial"/>
        </w:rPr>
        <w:t>ing</w:t>
      </w:r>
      <w:r w:rsidR="00E07784" w:rsidRPr="00C217DC">
        <w:rPr>
          <w:rFonts w:ascii="Arial" w:hAnsi="Arial" w:cs="Arial"/>
        </w:rPr>
        <w:t xml:space="preserve"> the configurations</w:t>
      </w:r>
      <w:r w:rsidR="006D03BF">
        <w:rPr>
          <w:rFonts w:ascii="Arial" w:hAnsi="Arial" w:cs="Arial"/>
        </w:rPr>
        <w:t xml:space="preserve"> (early compliance check)</w:t>
      </w:r>
      <w:r w:rsidR="00E07784" w:rsidRPr="00C217DC">
        <w:rPr>
          <w:rFonts w:ascii="Arial" w:hAnsi="Arial" w:cs="Arial"/>
        </w:rPr>
        <w:t xml:space="preserve"> or (2)</w:t>
      </w:r>
      <w:r w:rsidR="00F52D06" w:rsidRPr="00C217DC">
        <w:rPr>
          <w:rFonts w:ascii="Arial" w:hAnsi="Arial" w:cs="Arial"/>
        </w:rPr>
        <w:t xml:space="preserve"> </w:t>
      </w:r>
      <w:r w:rsidR="00A5244A" w:rsidRPr="00C217DC">
        <w:rPr>
          <w:rFonts w:ascii="Arial" w:hAnsi="Arial" w:cs="Arial"/>
        </w:rPr>
        <w:t>before</w:t>
      </w:r>
      <w:r w:rsidR="006D03BF">
        <w:rPr>
          <w:rFonts w:ascii="Arial" w:hAnsi="Arial" w:cs="Arial"/>
        </w:rPr>
        <w:t xml:space="preserve"> applying CHO configurations</w:t>
      </w:r>
      <w:r w:rsidR="00AA41ED">
        <w:rPr>
          <w:rFonts w:ascii="Arial" w:hAnsi="Arial" w:cs="Arial"/>
        </w:rPr>
        <w:t xml:space="preserve"> (late compliance check)</w:t>
      </w:r>
      <w:r w:rsidR="00B9278D">
        <w:rPr>
          <w:rFonts w:ascii="Arial" w:hAnsi="Arial" w:cs="Arial"/>
        </w:rPr>
        <w:t>.</w:t>
      </w:r>
      <w:r w:rsidR="006D03BF">
        <w:rPr>
          <w:rFonts w:ascii="Arial" w:hAnsi="Arial" w:cs="Arial"/>
        </w:rPr>
        <w:t xml:space="preserve"> </w:t>
      </w:r>
      <w:r w:rsidR="00A5244A" w:rsidRPr="00C217DC">
        <w:rPr>
          <w:rFonts w:ascii="Arial" w:hAnsi="Arial" w:cs="Arial"/>
        </w:rPr>
        <w:t xml:space="preserve"> </w:t>
      </w:r>
    </w:p>
    <w:p w14:paraId="4E4C8E58" w14:textId="77777777" w:rsidR="00C217DC" w:rsidRPr="00C217DC" w:rsidRDefault="00BA5735" w:rsidP="00943E49">
      <w:pPr>
        <w:pStyle w:val="afb"/>
        <w:numPr>
          <w:ilvl w:val="0"/>
          <w:numId w:val="6"/>
        </w:numPr>
        <w:spacing w:after="120"/>
        <w:jc w:val="both"/>
        <w:rPr>
          <w:rFonts w:ascii="Arial" w:hAnsi="Arial" w:cs="Arial"/>
          <w:lang w:eastAsia="en-US"/>
        </w:rPr>
      </w:pPr>
      <w:r w:rsidRPr="00C217DC">
        <w:rPr>
          <w:rFonts w:ascii="Arial" w:hAnsi="Arial" w:cs="Arial"/>
        </w:rPr>
        <w:t xml:space="preserve">According to current specifications, </w:t>
      </w:r>
      <w:r w:rsidR="00977913" w:rsidRPr="00C217DC">
        <w:rPr>
          <w:rFonts w:ascii="Arial" w:hAnsi="Arial" w:cs="Arial"/>
        </w:rPr>
        <w:t>The UE initiates the</w:t>
      </w:r>
      <w:r w:rsidR="00C217DC" w:rsidRPr="00C217DC">
        <w:rPr>
          <w:rFonts w:ascii="Arial" w:hAnsi="Arial" w:cs="Arial"/>
        </w:rPr>
        <w:t xml:space="preserve"> RRC re-establishment procedure when it is unable to comply with the RRC configurations.</w:t>
      </w:r>
    </w:p>
    <w:p w14:paraId="7D4EB8DE" w14:textId="05E59E9C" w:rsidR="00DF0675" w:rsidRPr="00D17EF9" w:rsidRDefault="00DF0675" w:rsidP="00DF0675">
      <w:pPr>
        <w:spacing w:after="120"/>
        <w:jc w:val="both"/>
        <w:rPr>
          <w:rFonts w:ascii="Arial" w:hAnsi="Arial" w:cs="Arial"/>
          <w:sz w:val="20"/>
          <w:szCs w:val="20"/>
        </w:rPr>
      </w:pPr>
      <w:r w:rsidRPr="00D17EF9">
        <w:rPr>
          <w:rFonts w:ascii="Arial" w:hAnsi="Arial" w:cs="Arial"/>
          <w:sz w:val="20"/>
          <w:szCs w:val="20"/>
        </w:rPr>
        <w:t>In previous meeting, we had a show-of-hands for potential options.</w:t>
      </w:r>
    </w:p>
    <w:tbl>
      <w:tblPr>
        <w:tblStyle w:val="af9"/>
        <w:tblW w:w="0" w:type="auto"/>
        <w:tblLook w:val="04A0" w:firstRow="1" w:lastRow="0" w:firstColumn="1" w:lastColumn="0" w:noHBand="0" w:noVBand="1"/>
      </w:tblPr>
      <w:tblGrid>
        <w:gridCol w:w="9629"/>
      </w:tblGrid>
      <w:tr w:rsidR="00DF0675" w14:paraId="57055FE5" w14:textId="77777777" w:rsidTr="0083199E">
        <w:tc>
          <w:tcPr>
            <w:tcW w:w="9629" w:type="dxa"/>
          </w:tcPr>
          <w:p w14:paraId="501711FC" w14:textId="77777777" w:rsidR="00DF0675" w:rsidRPr="00BF0321" w:rsidRDefault="00DF0675" w:rsidP="0083199E">
            <w:pPr>
              <w:tabs>
                <w:tab w:val="left" w:pos="1622"/>
              </w:tabs>
              <w:spacing w:after="60"/>
              <w:ind w:left="1622" w:hanging="363"/>
              <w:rPr>
                <w:rFonts w:ascii="Arial" w:eastAsia="MS Mincho" w:hAnsi="Arial"/>
                <w:b/>
                <w:sz w:val="20"/>
                <w:szCs w:val="24"/>
                <w:u w:val="single"/>
                <w:lang w:val="en-GB" w:eastAsia="en-GB"/>
              </w:rPr>
            </w:pPr>
            <w:r w:rsidRPr="00BF0321">
              <w:rPr>
                <w:rFonts w:ascii="Arial" w:eastAsia="MS Mincho" w:hAnsi="Arial"/>
                <w:b/>
                <w:sz w:val="20"/>
                <w:szCs w:val="24"/>
                <w:u w:val="single"/>
                <w:lang w:val="en-GB" w:eastAsia="en-GB"/>
              </w:rPr>
              <w:t>Show of hands</w:t>
            </w:r>
          </w:p>
          <w:p w14:paraId="2019DBC6" w14:textId="77777777" w:rsidR="00DF0675" w:rsidRPr="00BF0321" w:rsidRDefault="00DF0675" w:rsidP="0083199E">
            <w:pPr>
              <w:tabs>
                <w:tab w:val="left" w:pos="1622"/>
              </w:tabs>
              <w:spacing w:after="60"/>
              <w:ind w:left="1622" w:hanging="363"/>
              <w:rPr>
                <w:rFonts w:ascii="Arial" w:eastAsia="MS Mincho" w:hAnsi="Arial"/>
                <w:b/>
                <w:sz w:val="20"/>
                <w:szCs w:val="24"/>
                <w:lang w:val="en-GB" w:eastAsia="en-GB"/>
              </w:rPr>
            </w:pPr>
            <w:r w:rsidRPr="00BF0321">
              <w:rPr>
                <w:rFonts w:ascii="Arial" w:eastAsia="MS Mincho" w:hAnsi="Arial"/>
                <w:b/>
                <w:sz w:val="20"/>
                <w:szCs w:val="24"/>
                <w:lang w:val="en-GB" w:eastAsia="en-GB"/>
              </w:rPr>
              <w:lastRenderedPageBreak/>
              <w:t>1) Do not trigger re-establishment and do early check: 10</w:t>
            </w:r>
          </w:p>
          <w:p w14:paraId="1B10EBA3" w14:textId="77777777" w:rsidR="00DF0675" w:rsidRPr="00BF0321" w:rsidRDefault="00DF0675" w:rsidP="0083199E">
            <w:pPr>
              <w:tabs>
                <w:tab w:val="left" w:pos="1622"/>
              </w:tabs>
              <w:spacing w:after="60"/>
              <w:ind w:left="1622" w:hanging="363"/>
              <w:rPr>
                <w:rFonts w:ascii="Arial" w:eastAsia="MS Mincho" w:hAnsi="Arial"/>
                <w:sz w:val="20"/>
                <w:szCs w:val="24"/>
                <w:lang w:val="en-GB" w:eastAsia="en-GB"/>
              </w:rPr>
            </w:pPr>
            <w:r w:rsidRPr="00BF0321">
              <w:rPr>
                <w:rFonts w:ascii="Arial" w:eastAsia="MS Mincho" w:hAnsi="Arial"/>
                <w:sz w:val="20"/>
                <w:szCs w:val="24"/>
                <w:lang w:val="en-GB" w:eastAsia="en-GB"/>
              </w:rPr>
              <w:t>2) Do not trigger re-establishment and do late check: 0</w:t>
            </w:r>
          </w:p>
          <w:p w14:paraId="732C823C" w14:textId="77777777" w:rsidR="00DF0675" w:rsidRPr="00BF0321" w:rsidRDefault="00DF0675" w:rsidP="0083199E">
            <w:pPr>
              <w:tabs>
                <w:tab w:val="left" w:pos="1622"/>
              </w:tabs>
              <w:spacing w:after="60"/>
              <w:ind w:left="1622" w:hanging="363"/>
              <w:rPr>
                <w:rFonts w:ascii="Arial" w:eastAsia="MS Mincho" w:hAnsi="Arial"/>
                <w:b/>
                <w:sz w:val="20"/>
                <w:szCs w:val="24"/>
                <w:lang w:val="en-GB" w:eastAsia="en-GB"/>
              </w:rPr>
            </w:pPr>
            <w:r w:rsidRPr="00BF0321">
              <w:rPr>
                <w:rFonts w:ascii="Arial" w:eastAsia="MS Mincho" w:hAnsi="Arial"/>
                <w:b/>
                <w:sz w:val="20"/>
                <w:szCs w:val="24"/>
                <w:lang w:val="en-GB" w:eastAsia="en-GB"/>
              </w:rPr>
              <w:t xml:space="preserve">3) Trigger re-establishment and do early check: 13 </w:t>
            </w:r>
          </w:p>
          <w:p w14:paraId="0D8D3694" w14:textId="77777777" w:rsidR="00DF0675" w:rsidRPr="00BF0321" w:rsidRDefault="00DF0675" w:rsidP="0083199E">
            <w:pPr>
              <w:tabs>
                <w:tab w:val="left" w:pos="1622"/>
              </w:tabs>
              <w:spacing w:after="60"/>
              <w:ind w:left="1622" w:hanging="363"/>
              <w:rPr>
                <w:rFonts w:ascii="Arial" w:eastAsia="MS Mincho" w:hAnsi="Arial"/>
                <w:sz w:val="20"/>
                <w:szCs w:val="24"/>
                <w:lang w:val="en-GB" w:eastAsia="en-GB"/>
              </w:rPr>
            </w:pPr>
            <w:r w:rsidRPr="00BF0321">
              <w:rPr>
                <w:rFonts w:ascii="Arial" w:eastAsia="MS Mincho" w:hAnsi="Arial"/>
                <w:sz w:val="20"/>
                <w:szCs w:val="24"/>
                <w:lang w:val="en-GB" w:eastAsia="en-GB"/>
              </w:rPr>
              <w:t xml:space="preserve">4) Trigger re-establishment and do late check: 3 </w:t>
            </w:r>
          </w:p>
          <w:p w14:paraId="7D738C20" w14:textId="77777777" w:rsidR="00DF0675" w:rsidRPr="00BF0321" w:rsidRDefault="00DF0675" w:rsidP="0083199E">
            <w:pPr>
              <w:tabs>
                <w:tab w:val="left" w:pos="1622"/>
              </w:tabs>
              <w:spacing w:after="60"/>
              <w:ind w:left="1622" w:hanging="363"/>
              <w:rPr>
                <w:rFonts w:ascii="Arial" w:eastAsia="MS Mincho" w:hAnsi="Arial"/>
                <w:sz w:val="20"/>
                <w:szCs w:val="24"/>
                <w:lang w:val="en-GB" w:eastAsia="en-GB"/>
              </w:rPr>
            </w:pPr>
          </w:p>
          <w:p w14:paraId="54D3A8F3" w14:textId="77777777" w:rsidR="00DF0675" w:rsidRPr="00BF0321" w:rsidRDefault="00DF0675" w:rsidP="00943E49">
            <w:pPr>
              <w:numPr>
                <w:ilvl w:val="0"/>
                <w:numId w:val="7"/>
              </w:numPr>
              <w:tabs>
                <w:tab w:val="left" w:pos="1622"/>
              </w:tabs>
              <w:spacing w:before="40" w:after="60"/>
              <w:rPr>
                <w:rFonts w:ascii="Arial" w:eastAsia="MS Mincho" w:hAnsi="Arial"/>
                <w:b/>
                <w:sz w:val="20"/>
                <w:szCs w:val="24"/>
                <w:lang w:val="en-GB" w:eastAsia="en-GB"/>
              </w:rPr>
            </w:pPr>
            <w:r w:rsidRPr="00BF0321">
              <w:rPr>
                <w:rFonts w:ascii="Arial" w:eastAsia="MS Mincho" w:hAnsi="Arial"/>
                <w:b/>
                <w:sz w:val="20"/>
                <w:szCs w:val="24"/>
                <w:lang w:val="en-GB" w:eastAsia="en-GB"/>
              </w:rPr>
              <w:t xml:space="preserve">Stick to current specification (to be clarified which option that means). </w:t>
            </w:r>
          </w:p>
        </w:tc>
      </w:tr>
    </w:tbl>
    <w:p w14:paraId="12B6790E" w14:textId="77777777" w:rsidR="00DF0675" w:rsidRDefault="00DF0675" w:rsidP="00C217DC">
      <w:pPr>
        <w:spacing w:after="120"/>
        <w:jc w:val="both"/>
        <w:rPr>
          <w:rFonts w:ascii="Arial" w:hAnsi="Arial" w:cs="Arial"/>
          <w:sz w:val="20"/>
          <w:szCs w:val="20"/>
        </w:rPr>
      </w:pPr>
    </w:p>
    <w:p w14:paraId="5FBDF261" w14:textId="6D26EDB7" w:rsidR="006D03BF" w:rsidRDefault="00C217DC" w:rsidP="00C217DC">
      <w:pPr>
        <w:spacing w:after="120"/>
        <w:jc w:val="both"/>
        <w:rPr>
          <w:rFonts w:ascii="Arial" w:hAnsi="Arial" w:cs="Arial"/>
          <w:sz w:val="20"/>
          <w:szCs w:val="20"/>
        </w:rPr>
      </w:pPr>
      <w:r w:rsidRPr="00C217DC">
        <w:rPr>
          <w:rFonts w:ascii="Arial" w:hAnsi="Arial" w:cs="Arial"/>
          <w:sz w:val="20"/>
          <w:szCs w:val="20"/>
        </w:rPr>
        <w:t xml:space="preserve">For the compliance check and </w:t>
      </w:r>
      <w:r w:rsidR="0098535A">
        <w:rPr>
          <w:rFonts w:ascii="Arial" w:hAnsi="Arial" w:cs="Arial"/>
          <w:sz w:val="20"/>
          <w:szCs w:val="20"/>
        </w:rPr>
        <w:t>UE behavior upon reconfiguration failure</w:t>
      </w:r>
      <w:r w:rsidRPr="00C217DC">
        <w:rPr>
          <w:rFonts w:ascii="Arial" w:hAnsi="Arial" w:cs="Arial"/>
          <w:sz w:val="20"/>
          <w:szCs w:val="20"/>
        </w:rPr>
        <w:t xml:space="preserve"> in CH</w:t>
      </w:r>
      <w:r w:rsidR="00DF0675">
        <w:rPr>
          <w:rFonts w:ascii="Arial" w:hAnsi="Arial" w:cs="Arial"/>
          <w:sz w:val="20"/>
          <w:szCs w:val="20"/>
        </w:rPr>
        <w:t>O, we have the following comments on different</w:t>
      </w:r>
      <w:r w:rsidR="00D17EF9">
        <w:rPr>
          <w:rFonts w:ascii="Arial" w:hAnsi="Arial" w:cs="Arial"/>
          <w:sz w:val="20"/>
          <w:szCs w:val="20"/>
        </w:rPr>
        <w:t xml:space="preserve"> options</w:t>
      </w:r>
      <w:r>
        <w:rPr>
          <w:rFonts w:ascii="Arial" w:hAnsi="Arial" w:cs="Arial"/>
          <w:sz w:val="20"/>
          <w:szCs w:val="20"/>
        </w:rPr>
        <w:t>:</w:t>
      </w:r>
    </w:p>
    <w:tbl>
      <w:tblPr>
        <w:tblStyle w:val="13"/>
        <w:tblW w:w="0" w:type="auto"/>
        <w:tblLook w:val="04A0" w:firstRow="1" w:lastRow="0" w:firstColumn="1" w:lastColumn="0" w:noHBand="0" w:noVBand="1"/>
      </w:tblPr>
      <w:tblGrid>
        <w:gridCol w:w="2405"/>
        <w:gridCol w:w="3612"/>
        <w:gridCol w:w="3612"/>
      </w:tblGrid>
      <w:tr w:rsidR="006D03BF" w14:paraId="08964159" w14:textId="77777777" w:rsidTr="00E262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124F60A" w14:textId="77777777" w:rsidR="006D03BF" w:rsidRDefault="006D03BF" w:rsidP="0098535A">
            <w:pPr>
              <w:spacing w:after="120"/>
              <w:rPr>
                <w:rFonts w:ascii="Arial" w:hAnsi="Arial" w:cs="Arial"/>
                <w:sz w:val="20"/>
                <w:szCs w:val="20"/>
              </w:rPr>
            </w:pPr>
          </w:p>
        </w:tc>
        <w:tc>
          <w:tcPr>
            <w:tcW w:w="3612" w:type="dxa"/>
          </w:tcPr>
          <w:p w14:paraId="21FFB3BA" w14:textId="52F52E6F" w:rsidR="006D03BF" w:rsidRDefault="006D03BF" w:rsidP="0098535A">
            <w:pPr>
              <w:spacing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Early </w:t>
            </w:r>
            <w:r w:rsidR="0098535A">
              <w:rPr>
                <w:rFonts w:ascii="Arial" w:hAnsi="Arial" w:cs="Arial"/>
                <w:sz w:val="20"/>
                <w:szCs w:val="20"/>
              </w:rPr>
              <w:t>check</w:t>
            </w:r>
          </w:p>
        </w:tc>
        <w:tc>
          <w:tcPr>
            <w:tcW w:w="3612" w:type="dxa"/>
          </w:tcPr>
          <w:p w14:paraId="699EB518" w14:textId="230335D6" w:rsidR="006D03BF" w:rsidRDefault="0098535A" w:rsidP="0098535A">
            <w:pPr>
              <w:spacing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Late check</w:t>
            </w:r>
          </w:p>
        </w:tc>
      </w:tr>
      <w:tr w:rsidR="006D03BF" w14:paraId="76ADBB56" w14:textId="77777777" w:rsidTr="00E26290">
        <w:tc>
          <w:tcPr>
            <w:cnfStyle w:val="001000000000" w:firstRow="0" w:lastRow="0" w:firstColumn="1" w:lastColumn="0" w:oddVBand="0" w:evenVBand="0" w:oddHBand="0" w:evenHBand="0" w:firstRowFirstColumn="0" w:firstRowLastColumn="0" w:lastRowFirstColumn="0" w:lastRowLastColumn="0"/>
            <w:tcW w:w="2405" w:type="dxa"/>
          </w:tcPr>
          <w:p w14:paraId="0755AED4" w14:textId="0A30367F" w:rsidR="006D03BF" w:rsidRDefault="0098535A" w:rsidP="0098535A">
            <w:pPr>
              <w:spacing w:after="120"/>
              <w:rPr>
                <w:rFonts w:ascii="Arial" w:hAnsi="Arial" w:cs="Arial"/>
                <w:sz w:val="20"/>
                <w:szCs w:val="20"/>
              </w:rPr>
            </w:pPr>
            <w:r>
              <w:rPr>
                <w:rFonts w:ascii="Arial" w:hAnsi="Arial" w:cs="Arial"/>
                <w:sz w:val="20"/>
                <w:szCs w:val="20"/>
              </w:rPr>
              <w:t>UE performs RRC re-establishment</w:t>
            </w:r>
          </w:p>
        </w:tc>
        <w:tc>
          <w:tcPr>
            <w:tcW w:w="3612" w:type="dxa"/>
          </w:tcPr>
          <w:p w14:paraId="7D20B708" w14:textId="4769F7F6" w:rsidR="006D03BF" w:rsidRDefault="00E26290" w:rsidP="00CC353D">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This is how UE handles RRC reconfigurations in current specifications. However, </w:t>
            </w:r>
            <w:r w:rsidR="00CC353D">
              <w:rPr>
                <w:rFonts w:ascii="Arial" w:hAnsi="Arial" w:cs="Arial"/>
                <w:sz w:val="20"/>
                <w:szCs w:val="20"/>
              </w:rPr>
              <w:t xml:space="preserve">this means that a </w:t>
            </w:r>
            <w:r w:rsidR="00407A74">
              <w:rPr>
                <w:rFonts w:ascii="Arial" w:hAnsi="Arial" w:cs="Arial"/>
                <w:sz w:val="20"/>
                <w:szCs w:val="20"/>
              </w:rPr>
              <w:t xml:space="preserve">UE </w:t>
            </w:r>
            <w:r w:rsidR="00CC353D">
              <w:rPr>
                <w:rFonts w:ascii="Arial" w:hAnsi="Arial" w:cs="Arial"/>
                <w:sz w:val="20"/>
                <w:szCs w:val="20"/>
              </w:rPr>
              <w:t>may perform</w:t>
            </w:r>
            <w:r w:rsidR="00407A74">
              <w:rPr>
                <w:rFonts w:ascii="Arial" w:hAnsi="Arial" w:cs="Arial"/>
                <w:sz w:val="20"/>
                <w:szCs w:val="20"/>
              </w:rPr>
              <w:t xml:space="preserve"> </w:t>
            </w:r>
            <w:r w:rsidR="00CC353D">
              <w:rPr>
                <w:rFonts w:ascii="Arial" w:hAnsi="Arial" w:cs="Arial"/>
                <w:sz w:val="20"/>
                <w:szCs w:val="20"/>
              </w:rPr>
              <w:t>RRC re-establishment for a wrong CHO configuration, even if the associated target cell is not to be used by UE.</w:t>
            </w:r>
          </w:p>
        </w:tc>
        <w:tc>
          <w:tcPr>
            <w:tcW w:w="3612" w:type="dxa"/>
          </w:tcPr>
          <w:p w14:paraId="6B1A9AB3" w14:textId="4EAE0BF8" w:rsidR="006D03BF" w:rsidRDefault="00F52010" w:rsidP="004A0346">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This is reasonable UE behavior. UE should be allowed to </w:t>
            </w:r>
            <w:r w:rsidR="00353325">
              <w:rPr>
                <w:rFonts w:ascii="Arial" w:hAnsi="Arial" w:cs="Arial"/>
                <w:sz w:val="20"/>
                <w:szCs w:val="20"/>
              </w:rPr>
              <w:t xml:space="preserve">try other CHO candidates if available. </w:t>
            </w:r>
            <w:r w:rsidR="00EA1592">
              <w:rPr>
                <w:rFonts w:ascii="Arial" w:hAnsi="Arial" w:cs="Arial"/>
                <w:sz w:val="20"/>
                <w:szCs w:val="20"/>
              </w:rPr>
              <w:t>Also, t</w:t>
            </w:r>
            <w:r w:rsidR="00353325">
              <w:rPr>
                <w:rFonts w:ascii="Arial" w:hAnsi="Arial" w:cs="Arial"/>
                <w:sz w:val="20"/>
                <w:szCs w:val="20"/>
              </w:rPr>
              <w:t>he reconfiguration failure</w:t>
            </w:r>
            <w:r w:rsidR="0057313E">
              <w:rPr>
                <w:rFonts w:ascii="Arial" w:hAnsi="Arial" w:cs="Arial"/>
                <w:sz w:val="20"/>
                <w:szCs w:val="20"/>
              </w:rPr>
              <w:t xml:space="preserve"> should not be counted as CHO failure, and thus if unfortunately the CHO execution to another candidate fails,</w:t>
            </w:r>
            <w:r w:rsidR="006C23A3">
              <w:rPr>
                <w:rFonts w:ascii="Arial" w:hAnsi="Arial" w:cs="Arial"/>
                <w:sz w:val="20"/>
                <w:szCs w:val="20"/>
              </w:rPr>
              <w:t xml:space="preserve"> UE can try yet another CHO candidate cell.</w:t>
            </w:r>
            <w:r w:rsidR="0057313E">
              <w:rPr>
                <w:rFonts w:ascii="Arial" w:hAnsi="Arial" w:cs="Arial"/>
                <w:sz w:val="20"/>
                <w:szCs w:val="20"/>
              </w:rPr>
              <w:t xml:space="preserve"> </w:t>
            </w:r>
            <w:r w:rsidR="00353325">
              <w:rPr>
                <w:rFonts w:ascii="Arial" w:hAnsi="Arial" w:cs="Arial"/>
                <w:sz w:val="20"/>
                <w:szCs w:val="20"/>
              </w:rPr>
              <w:t xml:space="preserve">  </w:t>
            </w:r>
          </w:p>
        </w:tc>
      </w:tr>
      <w:tr w:rsidR="006D03BF" w14:paraId="4210D541" w14:textId="77777777" w:rsidTr="00E26290">
        <w:tc>
          <w:tcPr>
            <w:cnfStyle w:val="001000000000" w:firstRow="0" w:lastRow="0" w:firstColumn="1" w:lastColumn="0" w:oddVBand="0" w:evenVBand="0" w:oddHBand="0" w:evenHBand="0" w:firstRowFirstColumn="0" w:firstRowLastColumn="0" w:lastRowFirstColumn="0" w:lastRowLastColumn="0"/>
            <w:tcW w:w="2405" w:type="dxa"/>
          </w:tcPr>
          <w:p w14:paraId="01F8CB41" w14:textId="76A7605A" w:rsidR="006D03BF" w:rsidRDefault="0098535A" w:rsidP="0098535A">
            <w:pPr>
              <w:spacing w:after="120"/>
              <w:rPr>
                <w:rFonts w:ascii="Arial" w:hAnsi="Arial" w:cs="Arial"/>
                <w:sz w:val="20"/>
                <w:szCs w:val="20"/>
              </w:rPr>
            </w:pPr>
            <w:r>
              <w:rPr>
                <w:rFonts w:ascii="Arial" w:hAnsi="Arial" w:cs="Arial"/>
                <w:sz w:val="20"/>
                <w:szCs w:val="20"/>
              </w:rPr>
              <w:t>UE does NOT perform RRC re-establishment</w:t>
            </w:r>
          </w:p>
        </w:tc>
        <w:tc>
          <w:tcPr>
            <w:tcW w:w="3612" w:type="dxa"/>
          </w:tcPr>
          <w:p w14:paraId="7770B7F1" w14:textId="590C8DFA" w:rsidR="00D44D19" w:rsidRDefault="005530A8" w:rsidP="00D44D19">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If </w:t>
            </w:r>
            <w:r w:rsidR="00FF5514">
              <w:rPr>
                <w:rFonts w:ascii="Arial" w:hAnsi="Arial" w:cs="Arial"/>
                <w:sz w:val="20"/>
                <w:szCs w:val="20"/>
              </w:rPr>
              <w:t xml:space="preserve">UE knows that </w:t>
            </w:r>
            <w:r>
              <w:rPr>
                <w:rFonts w:ascii="Arial" w:hAnsi="Arial" w:cs="Arial"/>
                <w:sz w:val="20"/>
                <w:szCs w:val="20"/>
              </w:rPr>
              <w:t xml:space="preserve">it does not comply with a </w:t>
            </w:r>
            <w:r w:rsidR="00A3425F">
              <w:rPr>
                <w:rFonts w:ascii="Arial" w:hAnsi="Arial" w:cs="Arial"/>
                <w:sz w:val="20"/>
                <w:szCs w:val="20"/>
              </w:rPr>
              <w:t xml:space="preserve">CHO </w:t>
            </w:r>
            <w:r>
              <w:rPr>
                <w:rFonts w:ascii="Arial" w:hAnsi="Arial" w:cs="Arial"/>
                <w:sz w:val="20"/>
                <w:szCs w:val="20"/>
              </w:rPr>
              <w:t>target cell upon receiving the configurations,</w:t>
            </w:r>
            <w:r w:rsidR="00D44D19">
              <w:rPr>
                <w:rFonts w:ascii="Arial" w:hAnsi="Arial" w:cs="Arial"/>
                <w:sz w:val="20"/>
                <w:szCs w:val="20"/>
              </w:rPr>
              <w:t xml:space="preserve"> but</w:t>
            </w:r>
            <w:r>
              <w:rPr>
                <w:rFonts w:ascii="Arial" w:hAnsi="Arial" w:cs="Arial"/>
                <w:sz w:val="20"/>
                <w:szCs w:val="20"/>
              </w:rPr>
              <w:t xml:space="preserve"> does not perform RRC re-establishment, </w:t>
            </w:r>
            <w:r w:rsidR="00A95493">
              <w:rPr>
                <w:rFonts w:ascii="Arial" w:hAnsi="Arial" w:cs="Arial"/>
                <w:sz w:val="20"/>
                <w:szCs w:val="20"/>
              </w:rPr>
              <w:t>it</w:t>
            </w:r>
            <w:r w:rsidR="00D44D19">
              <w:rPr>
                <w:rFonts w:ascii="Arial" w:hAnsi="Arial" w:cs="Arial"/>
                <w:sz w:val="20"/>
                <w:szCs w:val="20"/>
              </w:rPr>
              <w:t xml:space="preserve"> has the following options:</w:t>
            </w:r>
          </w:p>
          <w:p w14:paraId="7DCE2326" w14:textId="5679B017" w:rsidR="00D44D19" w:rsidRDefault="00D44D19" w:rsidP="00D44D19">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w:t>
            </w:r>
            <w:r w:rsidRPr="00D44D19">
              <w:rPr>
                <w:rFonts w:ascii="Arial" w:hAnsi="Arial" w:cs="Arial"/>
                <w:sz w:val="20"/>
                <w:szCs w:val="20"/>
              </w:rPr>
              <w:t>. Just ignore the CHO target cell, and the target will eventually be released by the network or when any handover is completed.</w:t>
            </w:r>
          </w:p>
          <w:p w14:paraId="409A3D94" w14:textId="2B05E64C" w:rsidR="00D44D19" w:rsidRPr="00D44D19" w:rsidRDefault="00D44D19" w:rsidP="00D44D19">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b</w:t>
            </w:r>
            <w:r w:rsidRPr="00D44D19">
              <w:rPr>
                <w:rFonts w:ascii="Arial" w:hAnsi="Arial" w:cs="Arial"/>
                <w:sz w:val="20"/>
                <w:szCs w:val="20"/>
              </w:rPr>
              <w:t>. I</w:t>
            </w:r>
            <w:r w:rsidR="00A3425F" w:rsidRPr="00D44D19">
              <w:rPr>
                <w:rFonts w:ascii="Arial" w:hAnsi="Arial" w:cs="Arial"/>
                <w:sz w:val="20"/>
                <w:szCs w:val="20"/>
              </w:rPr>
              <w:t>nform the network</w:t>
            </w:r>
            <w:r w:rsidRPr="00D44D19">
              <w:rPr>
                <w:rFonts w:ascii="Arial" w:hAnsi="Arial" w:cs="Arial"/>
                <w:sz w:val="20"/>
                <w:szCs w:val="20"/>
              </w:rPr>
              <w:t>, and</w:t>
            </w:r>
            <w:r w:rsidR="00A3425F" w:rsidRPr="00D44D19">
              <w:rPr>
                <w:rFonts w:ascii="Arial" w:hAnsi="Arial" w:cs="Arial"/>
                <w:sz w:val="20"/>
                <w:szCs w:val="20"/>
              </w:rPr>
              <w:t xml:space="preserve"> </w:t>
            </w:r>
            <w:r w:rsidRPr="00D44D19">
              <w:rPr>
                <w:rFonts w:ascii="Arial" w:hAnsi="Arial" w:cs="Arial"/>
                <w:sz w:val="20"/>
                <w:szCs w:val="20"/>
              </w:rPr>
              <w:t>t</w:t>
            </w:r>
            <w:r w:rsidR="00A3425F" w:rsidRPr="00D44D19">
              <w:rPr>
                <w:rFonts w:ascii="Arial" w:hAnsi="Arial" w:cs="Arial"/>
                <w:sz w:val="20"/>
                <w:szCs w:val="20"/>
              </w:rPr>
              <w:t xml:space="preserve">hen the network </w:t>
            </w:r>
            <w:r w:rsidR="00072415" w:rsidRPr="00D44D19">
              <w:rPr>
                <w:rFonts w:ascii="Arial" w:hAnsi="Arial" w:cs="Arial"/>
                <w:sz w:val="20"/>
                <w:szCs w:val="20"/>
              </w:rPr>
              <w:t xml:space="preserve">can decide whether to release or reconfigure the </w:t>
            </w:r>
            <w:r w:rsidR="00EB6D9C" w:rsidRPr="00D44D19">
              <w:rPr>
                <w:rFonts w:ascii="Arial" w:hAnsi="Arial" w:cs="Arial"/>
                <w:sz w:val="20"/>
                <w:szCs w:val="20"/>
              </w:rPr>
              <w:t>CHO target cell</w:t>
            </w:r>
            <w:r w:rsidRPr="00D44D19">
              <w:rPr>
                <w:rFonts w:ascii="Arial" w:hAnsi="Arial" w:cs="Arial"/>
                <w:sz w:val="20"/>
                <w:szCs w:val="20"/>
              </w:rPr>
              <w:t>;</w:t>
            </w:r>
          </w:p>
        </w:tc>
        <w:tc>
          <w:tcPr>
            <w:tcW w:w="3612" w:type="dxa"/>
          </w:tcPr>
          <w:p w14:paraId="78391CBF" w14:textId="63A56FCC" w:rsidR="006D03BF" w:rsidRDefault="0037242A" w:rsidP="0098535A">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hint="eastAsia"/>
                <w:sz w:val="20"/>
                <w:szCs w:val="20"/>
              </w:rPr>
              <w:t xml:space="preserve">This is not </w:t>
            </w:r>
            <w:r>
              <w:rPr>
                <w:rFonts w:ascii="Arial" w:hAnsi="Arial" w:cs="Arial"/>
                <w:sz w:val="20"/>
                <w:szCs w:val="20"/>
              </w:rPr>
              <w:t>reasonable</w:t>
            </w:r>
            <w:r>
              <w:rPr>
                <w:rFonts w:ascii="Arial" w:hAnsi="Arial" w:cs="Arial" w:hint="eastAsia"/>
                <w:sz w:val="20"/>
                <w:szCs w:val="20"/>
              </w:rPr>
              <w:t xml:space="preserve"> UE </w:t>
            </w:r>
            <w:r>
              <w:rPr>
                <w:rFonts w:ascii="Arial" w:hAnsi="Arial" w:cs="Arial"/>
                <w:sz w:val="20"/>
                <w:szCs w:val="20"/>
              </w:rPr>
              <w:t>behavior</w:t>
            </w:r>
            <w:r>
              <w:rPr>
                <w:rFonts w:ascii="Arial" w:hAnsi="Arial" w:cs="Arial" w:hint="eastAsia"/>
                <w:sz w:val="20"/>
                <w:szCs w:val="20"/>
              </w:rPr>
              <w:t>.</w:t>
            </w:r>
          </w:p>
        </w:tc>
      </w:tr>
    </w:tbl>
    <w:p w14:paraId="15085C24" w14:textId="0140E8B0" w:rsidR="006D03BF" w:rsidRPr="00C217DC" w:rsidRDefault="006D03BF" w:rsidP="00C217DC">
      <w:pPr>
        <w:spacing w:after="120"/>
        <w:jc w:val="both"/>
        <w:rPr>
          <w:rFonts w:ascii="Arial" w:hAnsi="Arial" w:cs="Arial"/>
          <w:sz w:val="20"/>
          <w:szCs w:val="20"/>
        </w:rPr>
      </w:pPr>
    </w:p>
    <w:p w14:paraId="3A958CDC" w14:textId="39E9D751" w:rsidR="00FF5514" w:rsidRPr="00FF5514" w:rsidRDefault="00FF5514" w:rsidP="00FF5514">
      <w:pPr>
        <w:pStyle w:val="2"/>
      </w:pPr>
      <w:r w:rsidRPr="00FF5514">
        <w:t xml:space="preserve">Preferred UE </w:t>
      </w:r>
      <w:r w:rsidR="00F006D4" w:rsidRPr="00FF5514">
        <w:t>behaviour</w:t>
      </w:r>
    </w:p>
    <w:p w14:paraId="75AEF8F2" w14:textId="58C66BBF" w:rsidR="00BF0321" w:rsidRPr="00EB6D9C" w:rsidRDefault="00A95493" w:rsidP="006C23A3">
      <w:pPr>
        <w:spacing w:after="120"/>
        <w:jc w:val="both"/>
        <w:rPr>
          <w:rFonts w:ascii="Arial" w:hAnsi="Arial" w:cs="Arial"/>
          <w:sz w:val="20"/>
        </w:rPr>
      </w:pPr>
      <w:r w:rsidRPr="00EB6D9C">
        <w:rPr>
          <w:rFonts w:ascii="Arial" w:hAnsi="Arial" w:cs="Arial"/>
          <w:sz w:val="20"/>
        </w:rPr>
        <w:t>The above analysis shows the pros and cons of diffe</w:t>
      </w:r>
      <w:r w:rsidR="00A3425F" w:rsidRPr="00EB6D9C">
        <w:rPr>
          <w:rFonts w:ascii="Arial" w:hAnsi="Arial" w:cs="Arial" w:hint="eastAsia"/>
          <w:sz w:val="20"/>
        </w:rPr>
        <w:t>re</w:t>
      </w:r>
      <w:r w:rsidRPr="00EB6D9C">
        <w:rPr>
          <w:rFonts w:ascii="Arial" w:hAnsi="Arial" w:cs="Arial"/>
          <w:sz w:val="20"/>
        </w:rPr>
        <w:t xml:space="preserve">nt ways to handle CHO </w:t>
      </w:r>
      <w:r w:rsidR="00A3425F" w:rsidRPr="00EB6D9C">
        <w:rPr>
          <w:rFonts w:ascii="Arial" w:hAnsi="Arial" w:cs="Arial"/>
          <w:sz w:val="20"/>
        </w:rPr>
        <w:t>configurations.</w:t>
      </w:r>
      <w:r w:rsidR="00BF0321" w:rsidRPr="00EB6D9C">
        <w:rPr>
          <w:rFonts w:ascii="Arial" w:hAnsi="Arial" w:cs="Arial" w:hint="eastAsia"/>
          <w:sz w:val="20"/>
        </w:rPr>
        <w:t xml:space="preserve"> </w:t>
      </w:r>
      <w:r w:rsidR="00EB6D9C">
        <w:rPr>
          <w:rFonts w:ascii="Arial" w:hAnsi="Arial" w:cs="Arial"/>
          <w:sz w:val="20"/>
        </w:rPr>
        <w:t>We now discuss our preferred UE behavior.</w:t>
      </w:r>
      <w:r w:rsidR="00412215">
        <w:rPr>
          <w:rFonts w:ascii="Arial" w:hAnsi="Arial" w:cs="Arial"/>
          <w:sz w:val="20"/>
        </w:rPr>
        <w:t xml:space="preserve"> </w:t>
      </w:r>
    </w:p>
    <w:p w14:paraId="720CF20E" w14:textId="097A8397" w:rsidR="00BF0321" w:rsidRPr="00D17EF9" w:rsidRDefault="00BF0321" w:rsidP="006C23A3">
      <w:pPr>
        <w:spacing w:after="120"/>
        <w:jc w:val="both"/>
        <w:rPr>
          <w:rFonts w:ascii="Arial" w:hAnsi="Arial" w:cs="Arial"/>
          <w:sz w:val="20"/>
          <w:szCs w:val="20"/>
          <w:u w:val="single"/>
        </w:rPr>
      </w:pPr>
      <w:r w:rsidRPr="00D17EF9">
        <w:rPr>
          <w:rFonts w:ascii="Arial" w:hAnsi="Arial" w:cs="Arial"/>
          <w:sz w:val="20"/>
          <w:szCs w:val="20"/>
          <w:u w:val="single"/>
        </w:rPr>
        <w:t>Early check</w:t>
      </w:r>
    </w:p>
    <w:p w14:paraId="5A123D3B" w14:textId="583A7E3D" w:rsidR="006313F8" w:rsidRPr="006313F8" w:rsidRDefault="00BF0321" w:rsidP="006C23A3">
      <w:pPr>
        <w:spacing w:after="120"/>
        <w:jc w:val="both"/>
        <w:rPr>
          <w:rFonts w:ascii="Arial" w:hAnsi="Arial" w:cs="Arial"/>
          <w:sz w:val="20"/>
          <w:szCs w:val="20"/>
        </w:rPr>
      </w:pPr>
      <w:r w:rsidRPr="00BF0321">
        <w:rPr>
          <w:rFonts w:ascii="Arial" w:hAnsi="Arial" w:cs="Arial"/>
          <w:sz w:val="20"/>
          <w:szCs w:val="20"/>
        </w:rPr>
        <w:t xml:space="preserve">If </w:t>
      </w:r>
      <w:r>
        <w:rPr>
          <w:rFonts w:ascii="Arial" w:hAnsi="Arial" w:cs="Arial"/>
          <w:sz w:val="20"/>
          <w:szCs w:val="20"/>
        </w:rPr>
        <w:t xml:space="preserve">UE performs </w:t>
      </w:r>
      <w:r w:rsidR="00334E84">
        <w:rPr>
          <w:rFonts w:ascii="Arial" w:hAnsi="Arial" w:cs="Arial"/>
          <w:sz w:val="20"/>
          <w:szCs w:val="20"/>
        </w:rPr>
        <w:t>early check</w:t>
      </w:r>
      <w:r w:rsidR="00D44D19">
        <w:rPr>
          <w:rFonts w:ascii="Arial" w:hAnsi="Arial" w:cs="Arial"/>
          <w:sz w:val="20"/>
          <w:szCs w:val="20"/>
        </w:rPr>
        <w:t xml:space="preserve"> and realizes that it </w:t>
      </w:r>
      <w:r w:rsidR="00255A76">
        <w:rPr>
          <w:rFonts w:ascii="Arial" w:hAnsi="Arial" w:cs="Arial"/>
          <w:sz w:val="20"/>
          <w:szCs w:val="20"/>
        </w:rPr>
        <w:t>does not comply with the CHO target cell configurations</w:t>
      </w:r>
      <w:r w:rsidR="00334E84">
        <w:rPr>
          <w:rFonts w:ascii="Arial" w:hAnsi="Arial" w:cs="Arial"/>
          <w:sz w:val="20"/>
          <w:szCs w:val="20"/>
        </w:rPr>
        <w:t xml:space="preserve">, </w:t>
      </w:r>
      <w:r w:rsidR="00D17EF9">
        <w:rPr>
          <w:rFonts w:ascii="Arial" w:hAnsi="Arial" w:cs="Arial"/>
          <w:sz w:val="20"/>
          <w:szCs w:val="20"/>
        </w:rPr>
        <w:t xml:space="preserve">we suggest that the UE should not </w:t>
      </w:r>
      <w:r w:rsidR="0037242A">
        <w:rPr>
          <w:rFonts w:ascii="Arial" w:hAnsi="Arial" w:cs="Arial"/>
          <w:sz w:val="20"/>
          <w:szCs w:val="20"/>
        </w:rPr>
        <w:t>initiate</w:t>
      </w:r>
      <w:r w:rsidR="00D17EF9">
        <w:rPr>
          <w:rFonts w:ascii="Arial" w:hAnsi="Arial" w:cs="Arial"/>
          <w:sz w:val="20"/>
          <w:szCs w:val="20"/>
        </w:rPr>
        <w:t xml:space="preserve"> </w:t>
      </w:r>
      <w:r w:rsidR="00D44D19">
        <w:rPr>
          <w:rFonts w:ascii="Arial" w:hAnsi="Arial" w:cs="Arial"/>
          <w:sz w:val="20"/>
          <w:szCs w:val="20"/>
        </w:rPr>
        <w:t>RRC re</w:t>
      </w:r>
      <w:r w:rsidR="00496951">
        <w:rPr>
          <w:rFonts w:ascii="Arial" w:hAnsi="Arial" w:cs="Arial"/>
          <w:sz w:val="20"/>
          <w:szCs w:val="20"/>
        </w:rPr>
        <w:t xml:space="preserve">-establishment. This is because that UE has not yet applied the target cell configuration and it can live well with </w:t>
      </w:r>
      <w:r w:rsidR="008F27C8">
        <w:rPr>
          <w:rFonts w:ascii="Arial" w:hAnsi="Arial" w:cs="Arial"/>
          <w:sz w:val="20"/>
          <w:szCs w:val="20"/>
        </w:rPr>
        <w:t xml:space="preserve">current serving cell configurations. Moreover, it would be nice if the </w:t>
      </w:r>
      <w:r w:rsidR="008850EE">
        <w:rPr>
          <w:rFonts w:ascii="Arial" w:hAnsi="Arial" w:cs="Arial"/>
          <w:sz w:val="20"/>
          <w:szCs w:val="20"/>
        </w:rPr>
        <w:t>UE can inform the network of the situation, however, since we do not have similar procedures in current specifications and it may take some time to discuss the details</w:t>
      </w:r>
      <w:r w:rsidR="006313F8">
        <w:rPr>
          <w:rFonts w:ascii="Arial" w:hAnsi="Arial" w:cs="Arial" w:hint="eastAsia"/>
          <w:sz w:val="20"/>
          <w:szCs w:val="20"/>
        </w:rPr>
        <w:t>, we su</w:t>
      </w:r>
      <w:r w:rsidR="00C97EF1">
        <w:rPr>
          <w:rFonts w:ascii="Arial" w:hAnsi="Arial" w:cs="Arial" w:hint="eastAsia"/>
          <w:sz w:val="20"/>
          <w:szCs w:val="20"/>
        </w:rPr>
        <w:t>ggest that the UE simply ignore</w:t>
      </w:r>
      <w:r w:rsidR="006313F8">
        <w:rPr>
          <w:rFonts w:ascii="Arial" w:hAnsi="Arial" w:cs="Arial" w:hint="eastAsia"/>
          <w:sz w:val="20"/>
          <w:szCs w:val="20"/>
        </w:rPr>
        <w:t xml:space="preserve"> the </w:t>
      </w:r>
      <w:r w:rsidR="006313F8">
        <w:rPr>
          <w:rFonts w:ascii="Arial" w:hAnsi="Arial" w:cs="Arial"/>
          <w:sz w:val="20"/>
          <w:szCs w:val="20"/>
        </w:rPr>
        <w:t>incompatible</w:t>
      </w:r>
      <w:r w:rsidR="006313F8">
        <w:rPr>
          <w:rFonts w:ascii="Arial" w:hAnsi="Arial" w:cs="Arial" w:hint="eastAsia"/>
          <w:sz w:val="20"/>
          <w:szCs w:val="20"/>
        </w:rPr>
        <w:t xml:space="preserve"> </w:t>
      </w:r>
      <w:r w:rsidR="006313F8">
        <w:rPr>
          <w:rFonts w:ascii="Arial" w:hAnsi="Arial" w:cs="Arial"/>
          <w:sz w:val="20"/>
          <w:szCs w:val="20"/>
        </w:rPr>
        <w:t>CHO target cell configurations.</w:t>
      </w:r>
    </w:p>
    <w:p w14:paraId="5391E879" w14:textId="7C605C76" w:rsidR="00515BC8" w:rsidRPr="00EB6D9C" w:rsidRDefault="00515BC8" w:rsidP="006C23A3">
      <w:pPr>
        <w:spacing w:after="120"/>
        <w:jc w:val="both"/>
        <w:rPr>
          <w:rFonts w:ascii="Arial" w:hAnsi="Arial" w:cs="Arial"/>
          <w:sz w:val="20"/>
          <w:szCs w:val="20"/>
          <w:u w:val="single"/>
        </w:rPr>
      </w:pPr>
      <w:r w:rsidRPr="00EB6D9C">
        <w:rPr>
          <w:rFonts w:ascii="Arial" w:hAnsi="Arial" w:cs="Arial"/>
          <w:sz w:val="20"/>
          <w:szCs w:val="20"/>
          <w:u w:val="single"/>
        </w:rPr>
        <w:t>Late check</w:t>
      </w:r>
    </w:p>
    <w:p w14:paraId="1F9042D3" w14:textId="0CB103CE" w:rsidR="00515BC8" w:rsidRDefault="00C97EF1" w:rsidP="006C23A3">
      <w:pPr>
        <w:spacing w:after="120"/>
        <w:jc w:val="both"/>
        <w:rPr>
          <w:rFonts w:ascii="Arial" w:hAnsi="Arial" w:cs="Arial"/>
          <w:sz w:val="20"/>
          <w:szCs w:val="20"/>
        </w:rPr>
      </w:pPr>
      <w:r>
        <w:rPr>
          <w:rFonts w:ascii="Arial" w:hAnsi="Arial" w:cs="Arial"/>
          <w:sz w:val="20"/>
          <w:szCs w:val="20"/>
        </w:rPr>
        <w:t>While</w:t>
      </w:r>
      <w:r>
        <w:rPr>
          <w:rFonts w:ascii="Arial" w:hAnsi="Arial" w:cs="Arial" w:hint="eastAsia"/>
          <w:sz w:val="20"/>
          <w:szCs w:val="20"/>
        </w:rPr>
        <w:t xml:space="preserve"> most companies </w:t>
      </w:r>
      <w:r>
        <w:rPr>
          <w:rFonts w:ascii="Arial" w:hAnsi="Arial" w:cs="Arial"/>
          <w:sz w:val="20"/>
          <w:szCs w:val="20"/>
        </w:rPr>
        <w:t xml:space="preserve">support early check </w:t>
      </w:r>
      <w:r w:rsidR="002B3FD3">
        <w:rPr>
          <w:rFonts w:ascii="Arial" w:hAnsi="Arial" w:cs="Arial"/>
          <w:sz w:val="20"/>
          <w:szCs w:val="20"/>
        </w:rPr>
        <w:t xml:space="preserve">in last meeting, late check is also a practical solution. From UE implementation perspective, </w:t>
      </w:r>
      <w:r w:rsidR="00AE7845">
        <w:rPr>
          <w:rFonts w:ascii="Arial" w:hAnsi="Arial" w:cs="Arial"/>
          <w:sz w:val="20"/>
          <w:szCs w:val="20"/>
        </w:rPr>
        <w:t>compliance check for</w:t>
      </w:r>
      <w:r w:rsidR="00AE7845">
        <w:rPr>
          <w:rFonts w:ascii="Arial" w:hAnsi="Arial" w:cs="Arial" w:hint="eastAsia"/>
          <w:sz w:val="20"/>
          <w:szCs w:val="20"/>
        </w:rPr>
        <w:t xml:space="preserve"> a CHO target cell is </w:t>
      </w:r>
      <w:r w:rsidR="00AE7845">
        <w:rPr>
          <w:rFonts w:ascii="Arial" w:hAnsi="Arial" w:cs="Arial"/>
          <w:sz w:val="20"/>
          <w:szCs w:val="20"/>
        </w:rPr>
        <w:t>can be done fast enough and does not delay CHO execution.</w:t>
      </w:r>
      <w:r w:rsidR="00425DD9">
        <w:rPr>
          <w:rFonts w:ascii="Arial" w:hAnsi="Arial" w:cs="Arial"/>
          <w:sz w:val="20"/>
          <w:szCs w:val="20"/>
        </w:rPr>
        <w:t xml:space="preserve"> If UE performs late check and finds that it does not comply with the CHO configurations, UE should be allowed to try other CHO candidates if available. Also, the reconfiguration failure should not be counted as CHO failure.</w:t>
      </w:r>
    </w:p>
    <w:p w14:paraId="252EA7D7" w14:textId="004F58A7" w:rsidR="002B3FD3" w:rsidRDefault="002B3FD3" w:rsidP="006C23A3">
      <w:pPr>
        <w:spacing w:after="120"/>
        <w:jc w:val="both"/>
        <w:rPr>
          <w:rFonts w:ascii="Arial" w:hAnsi="Arial" w:cs="Arial"/>
          <w:sz w:val="20"/>
          <w:szCs w:val="20"/>
        </w:rPr>
      </w:pPr>
      <w:r>
        <w:rPr>
          <w:rFonts w:ascii="Arial" w:hAnsi="Arial" w:cs="Arial"/>
          <w:sz w:val="20"/>
          <w:szCs w:val="20"/>
        </w:rPr>
        <w:t xml:space="preserve">Based on the discussions above, we have the following </w:t>
      </w:r>
      <w:r w:rsidR="00B9278D">
        <w:rPr>
          <w:rFonts w:ascii="Arial" w:hAnsi="Arial" w:cs="Arial"/>
          <w:sz w:val="20"/>
          <w:szCs w:val="20"/>
        </w:rPr>
        <w:t>proposals.</w:t>
      </w:r>
    </w:p>
    <w:p w14:paraId="2B2DE4BF" w14:textId="6CB886AC" w:rsidR="003B0C61" w:rsidRPr="0094533F" w:rsidRDefault="002B3FD3" w:rsidP="0094533F">
      <w:pPr>
        <w:spacing w:after="120"/>
        <w:ind w:left="1440" w:hanging="1440"/>
        <w:jc w:val="both"/>
        <w:rPr>
          <w:rFonts w:ascii="Arial" w:hAnsi="Arial" w:cs="Arial"/>
          <w:b/>
          <w:sz w:val="20"/>
          <w:szCs w:val="20"/>
        </w:rPr>
      </w:pPr>
      <w:r w:rsidRPr="00425DD9">
        <w:rPr>
          <w:rFonts w:ascii="Arial" w:hAnsi="Arial" w:cs="Arial"/>
          <w:b/>
          <w:sz w:val="20"/>
          <w:szCs w:val="20"/>
        </w:rPr>
        <w:lastRenderedPageBreak/>
        <w:t>Proposal</w:t>
      </w:r>
      <w:r w:rsidR="00B9278D" w:rsidRPr="00425DD9">
        <w:rPr>
          <w:rFonts w:ascii="Arial" w:hAnsi="Arial" w:cs="Arial"/>
          <w:b/>
          <w:sz w:val="20"/>
          <w:szCs w:val="20"/>
        </w:rPr>
        <w:t xml:space="preserve"> 1:</w:t>
      </w:r>
      <w:r w:rsidR="00B9278D" w:rsidRPr="00425DD9">
        <w:rPr>
          <w:rFonts w:ascii="Arial" w:hAnsi="Arial" w:cs="Arial"/>
          <w:b/>
          <w:sz w:val="20"/>
          <w:szCs w:val="20"/>
        </w:rPr>
        <w:tab/>
        <w:t xml:space="preserve">RAN2 decides when to check if the UE complies with the received CHO target cell configurations: </w:t>
      </w:r>
      <w:r w:rsidR="00AE7845" w:rsidRPr="00425DD9">
        <w:rPr>
          <w:rFonts w:ascii="Arial" w:hAnsi="Arial" w:cs="Arial"/>
          <w:b/>
          <w:sz w:val="20"/>
          <w:szCs w:val="20"/>
        </w:rPr>
        <w:t>(1) upon receiving the configurations (early compliance check) or (2) before applying CHO c</w:t>
      </w:r>
      <w:r w:rsidR="005617A5">
        <w:rPr>
          <w:rFonts w:ascii="Arial" w:hAnsi="Arial" w:cs="Arial"/>
          <w:b/>
          <w:sz w:val="20"/>
          <w:szCs w:val="20"/>
        </w:rPr>
        <w:t>onfigurations (late compliance check).</w:t>
      </w:r>
    </w:p>
    <w:p w14:paraId="3534D99C" w14:textId="1AC03413" w:rsidR="00C93CF4" w:rsidRPr="00D4657B" w:rsidRDefault="00412215" w:rsidP="00D62FAA">
      <w:pPr>
        <w:spacing w:after="120"/>
        <w:ind w:left="1440" w:hanging="1440"/>
        <w:jc w:val="both"/>
        <w:rPr>
          <w:rFonts w:ascii="Arial" w:hAnsi="Arial" w:cs="Arial"/>
          <w:b/>
          <w:sz w:val="20"/>
          <w:szCs w:val="20"/>
          <w:lang w:val="en-GB" w:eastAsia="en-US"/>
        </w:rPr>
      </w:pPr>
      <w:r w:rsidRPr="00D4657B">
        <w:rPr>
          <w:rFonts w:ascii="Arial" w:hAnsi="Arial" w:cs="Arial"/>
          <w:b/>
          <w:sz w:val="20"/>
          <w:szCs w:val="20"/>
          <w:lang w:val="en-GB" w:eastAsia="en-US"/>
        </w:rPr>
        <w:t>Proposal 2:</w:t>
      </w:r>
      <w:r w:rsidRPr="00D4657B">
        <w:rPr>
          <w:rFonts w:ascii="Arial" w:hAnsi="Arial" w:cs="Arial"/>
          <w:b/>
          <w:sz w:val="20"/>
          <w:szCs w:val="20"/>
          <w:lang w:val="en-GB" w:eastAsia="en-US"/>
        </w:rPr>
        <w:tab/>
        <w:t>If RAN2 agrees that UE performs early compliance check, when UE finds that it does not comply with a CHO target cell configurations, the UE simply ignores the CHO configurations and does not initiate RRC re-establishment.</w:t>
      </w:r>
    </w:p>
    <w:p w14:paraId="258B745A" w14:textId="77777777" w:rsidR="009F3BDF" w:rsidRDefault="00D62FAA" w:rsidP="00B962CD">
      <w:pPr>
        <w:spacing w:after="120"/>
        <w:ind w:left="1440" w:hanging="1440"/>
        <w:jc w:val="both"/>
        <w:rPr>
          <w:rFonts w:ascii="Arial" w:hAnsi="Arial" w:cs="Arial"/>
          <w:b/>
          <w:sz w:val="20"/>
          <w:szCs w:val="20"/>
          <w:lang w:val="en-GB" w:eastAsia="en-US"/>
        </w:rPr>
      </w:pPr>
      <w:r w:rsidRPr="00D4657B">
        <w:rPr>
          <w:rFonts w:ascii="Arial" w:hAnsi="Arial" w:cs="Arial"/>
          <w:b/>
          <w:sz w:val="20"/>
          <w:szCs w:val="20"/>
          <w:lang w:val="en-GB" w:eastAsia="en-US"/>
        </w:rPr>
        <w:t xml:space="preserve">Proposal </w:t>
      </w:r>
      <w:r w:rsidR="00B962CD">
        <w:rPr>
          <w:rFonts w:ascii="Arial" w:hAnsi="Arial" w:cs="Arial"/>
          <w:b/>
          <w:sz w:val="20"/>
          <w:szCs w:val="20"/>
          <w:lang w:val="en-GB" w:eastAsia="en-US"/>
        </w:rPr>
        <w:t>3</w:t>
      </w:r>
      <w:r w:rsidRPr="00D4657B">
        <w:rPr>
          <w:rFonts w:ascii="Arial" w:hAnsi="Arial" w:cs="Arial"/>
          <w:b/>
          <w:sz w:val="20"/>
          <w:szCs w:val="20"/>
          <w:lang w:val="en-GB" w:eastAsia="en-US"/>
        </w:rPr>
        <w:t>:</w:t>
      </w:r>
      <w:r w:rsidRPr="00D4657B">
        <w:rPr>
          <w:rFonts w:ascii="Arial" w:hAnsi="Arial" w:cs="Arial"/>
          <w:b/>
          <w:sz w:val="20"/>
          <w:szCs w:val="20"/>
          <w:lang w:val="en-GB" w:eastAsia="en-US"/>
        </w:rPr>
        <w:tab/>
        <w:t>If RAN2 agrees that UE</w:t>
      </w:r>
      <w:r w:rsidR="00B962CD">
        <w:rPr>
          <w:rFonts w:ascii="Arial" w:hAnsi="Arial" w:cs="Arial"/>
          <w:b/>
          <w:sz w:val="20"/>
          <w:szCs w:val="20"/>
          <w:lang w:val="en-GB" w:eastAsia="en-US"/>
        </w:rPr>
        <w:t xml:space="preserve"> performs late</w:t>
      </w:r>
      <w:r w:rsidRPr="00D4657B">
        <w:rPr>
          <w:rFonts w:ascii="Arial" w:hAnsi="Arial" w:cs="Arial"/>
          <w:b/>
          <w:sz w:val="20"/>
          <w:szCs w:val="20"/>
          <w:lang w:val="en-GB" w:eastAsia="en-US"/>
        </w:rPr>
        <w:t xml:space="preserve"> compliance check, when UE finds that it does not comply with a CHO </w:t>
      </w:r>
      <w:r w:rsidR="00A807E8">
        <w:rPr>
          <w:rFonts w:ascii="Arial" w:hAnsi="Arial" w:cs="Arial"/>
          <w:b/>
          <w:sz w:val="20"/>
          <w:szCs w:val="20"/>
          <w:lang w:val="en-GB" w:eastAsia="en-US"/>
        </w:rPr>
        <w:t xml:space="preserve">target cell configurations, </w:t>
      </w:r>
      <w:r w:rsidRPr="00D4657B">
        <w:rPr>
          <w:rFonts w:ascii="Arial" w:hAnsi="Arial" w:cs="Arial"/>
          <w:b/>
          <w:sz w:val="20"/>
          <w:szCs w:val="20"/>
          <w:lang w:val="en-GB" w:eastAsia="en-US"/>
        </w:rPr>
        <w:t>UE initiate</w:t>
      </w:r>
      <w:r w:rsidR="00B962CD">
        <w:rPr>
          <w:rFonts w:ascii="Arial" w:hAnsi="Arial" w:cs="Arial"/>
          <w:b/>
          <w:sz w:val="20"/>
          <w:szCs w:val="20"/>
          <w:lang w:val="en-GB" w:eastAsia="en-US"/>
        </w:rPr>
        <w:t>s</w:t>
      </w:r>
      <w:r w:rsidRPr="00D4657B">
        <w:rPr>
          <w:rFonts w:ascii="Arial" w:hAnsi="Arial" w:cs="Arial"/>
          <w:b/>
          <w:sz w:val="20"/>
          <w:szCs w:val="20"/>
          <w:lang w:val="en-GB" w:eastAsia="en-US"/>
        </w:rPr>
        <w:t xml:space="preserve"> RRC re-establishment</w:t>
      </w:r>
      <w:r w:rsidR="00B962CD">
        <w:rPr>
          <w:rFonts w:ascii="Arial" w:hAnsi="Arial" w:cs="Arial"/>
          <w:b/>
          <w:sz w:val="20"/>
          <w:szCs w:val="20"/>
          <w:lang w:val="en-GB" w:eastAsia="en-US"/>
        </w:rPr>
        <w:t xml:space="preserve"> if there is no other CHO configurations available</w:t>
      </w:r>
      <w:r w:rsidRPr="00D4657B">
        <w:rPr>
          <w:rFonts w:ascii="Arial" w:hAnsi="Arial" w:cs="Arial"/>
          <w:b/>
          <w:sz w:val="20"/>
          <w:szCs w:val="20"/>
          <w:lang w:val="en-GB" w:eastAsia="en-US"/>
        </w:rPr>
        <w:t>.</w:t>
      </w:r>
      <w:r w:rsidR="00B962CD">
        <w:rPr>
          <w:rFonts w:ascii="Arial" w:hAnsi="Arial" w:cs="Arial"/>
          <w:b/>
          <w:sz w:val="20"/>
          <w:szCs w:val="20"/>
          <w:lang w:val="en-GB" w:eastAsia="en-US"/>
        </w:rPr>
        <w:t xml:space="preserve"> Otherwise, the UE may executes CHO to another CHO target cell. </w:t>
      </w:r>
    </w:p>
    <w:p w14:paraId="5A9A752C" w14:textId="53A4D8F7" w:rsidR="00412215" w:rsidRPr="00D62FAA" w:rsidRDefault="009F3BDF" w:rsidP="00B962CD">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4:</w:t>
      </w:r>
      <w:r>
        <w:rPr>
          <w:rFonts w:ascii="Arial" w:hAnsi="Arial" w:cs="Arial"/>
          <w:b/>
          <w:sz w:val="20"/>
          <w:szCs w:val="20"/>
          <w:lang w:val="en-GB" w:eastAsia="en-US"/>
        </w:rPr>
        <w:tab/>
      </w:r>
      <w:r w:rsidR="00B962CD">
        <w:rPr>
          <w:rFonts w:ascii="Arial" w:hAnsi="Arial" w:cs="Arial"/>
          <w:b/>
          <w:sz w:val="20"/>
          <w:szCs w:val="20"/>
          <w:lang w:val="en-GB" w:eastAsia="en-US"/>
        </w:rPr>
        <w:t>The CHO configuration failure is not considered as CHO failure.</w:t>
      </w:r>
    </w:p>
    <w:p w14:paraId="6EE49DD0" w14:textId="19A03BE5" w:rsidR="008D2C0E" w:rsidRPr="00CD6FDF" w:rsidRDefault="00A07E02" w:rsidP="00CD6FDF">
      <w:pPr>
        <w:pStyle w:val="1"/>
        <w:overflowPunct w:val="0"/>
        <w:autoSpaceDE w:val="0"/>
        <w:autoSpaceDN w:val="0"/>
        <w:adjustRightInd w:val="0"/>
        <w:rPr>
          <w:rFonts w:eastAsia="新細明體" w:cs="Arial"/>
        </w:rPr>
      </w:pPr>
      <w:r w:rsidRPr="007E063A">
        <w:rPr>
          <w:rFonts w:eastAsia="新細明體" w:cs="Arial"/>
        </w:rPr>
        <w:t>Conclusion</w:t>
      </w:r>
      <w:bookmarkEnd w:id="3"/>
      <w:bookmarkEnd w:id="4"/>
    </w:p>
    <w:p w14:paraId="63A8BEEA" w14:textId="77777777" w:rsidR="000E1C83" w:rsidRPr="007E063A" w:rsidRDefault="000E1C83" w:rsidP="006F226A">
      <w:pPr>
        <w:spacing w:after="120"/>
        <w:rPr>
          <w:rFonts w:ascii="Arial" w:hAnsi="Arial" w:cs="Arial"/>
          <w:sz w:val="20"/>
          <w:szCs w:val="20"/>
          <w:lang w:val="en-GB"/>
        </w:rPr>
      </w:pPr>
      <w:r w:rsidRPr="007E063A">
        <w:rPr>
          <w:rFonts w:ascii="Arial" w:hAnsi="Arial" w:cs="Arial"/>
          <w:sz w:val="20"/>
          <w:szCs w:val="20"/>
          <w:lang w:val="en-GB"/>
        </w:rPr>
        <w:t>It is proposed to discuss and decide on the following proposals:</w:t>
      </w:r>
    </w:p>
    <w:p w14:paraId="314D1821" w14:textId="1280C00F" w:rsidR="00D33F34" w:rsidRPr="00124FB1" w:rsidRDefault="00D33F34" w:rsidP="00124FB1">
      <w:pPr>
        <w:spacing w:after="120"/>
        <w:ind w:left="1440" w:hanging="1440"/>
        <w:jc w:val="both"/>
        <w:rPr>
          <w:rFonts w:ascii="Arial" w:hAnsi="Arial" w:cs="Arial"/>
          <w:b/>
          <w:sz w:val="20"/>
          <w:szCs w:val="20"/>
        </w:rPr>
      </w:pPr>
      <w:r w:rsidRPr="00425DD9">
        <w:rPr>
          <w:rFonts w:ascii="Arial" w:hAnsi="Arial" w:cs="Arial"/>
          <w:b/>
          <w:sz w:val="20"/>
          <w:szCs w:val="20"/>
        </w:rPr>
        <w:t>Proposal 1:</w:t>
      </w:r>
      <w:r w:rsidRPr="00425DD9">
        <w:rPr>
          <w:rFonts w:ascii="Arial" w:hAnsi="Arial" w:cs="Arial"/>
          <w:b/>
          <w:sz w:val="20"/>
          <w:szCs w:val="20"/>
        </w:rPr>
        <w:tab/>
        <w:t>RAN2 decides when to check if the UE complies with the received CHO target cell configurations: (1) upon receiving the configurations (early compliance check) or (2) before applying CHO c</w:t>
      </w:r>
      <w:r>
        <w:rPr>
          <w:rFonts w:ascii="Arial" w:hAnsi="Arial" w:cs="Arial"/>
          <w:b/>
          <w:sz w:val="20"/>
          <w:szCs w:val="20"/>
        </w:rPr>
        <w:t>onfigurations (late compliance check).</w:t>
      </w:r>
    </w:p>
    <w:p w14:paraId="75A36F72" w14:textId="106F793D" w:rsidR="00D33F34" w:rsidRPr="00D4657B" w:rsidRDefault="00D33F34" w:rsidP="00D33F34">
      <w:pPr>
        <w:spacing w:after="120"/>
        <w:ind w:left="1440" w:hanging="1440"/>
        <w:jc w:val="both"/>
        <w:rPr>
          <w:rFonts w:ascii="Arial" w:hAnsi="Arial" w:cs="Arial"/>
          <w:b/>
          <w:sz w:val="20"/>
          <w:szCs w:val="20"/>
          <w:lang w:val="en-GB" w:eastAsia="en-US"/>
        </w:rPr>
      </w:pPr>
      <w:r w:rsidRPr="00D4657B">
        <w:rPr>
          <w:rFonts w:ascii="Arial" w:hAnsi="Arial" w:cs="Arial"/>
          <w:b/>
          <w:sz w:val="20"/>
          <w:szCs w:val="20"/>
          <w:lang w:val="en-GB" w:eastAsia="en-US"/>
        </w:rPr>
        <w:t>Proposal 2:</w:t>
      </w:r>
      <w:r w:rsidRPr="00D4657B">
        <w:rPr>
          <w:rFonts w:ascii="Arial" w:hAnsi="Arial" w:cs="Arial"/>
          <w:b/>
          <w:sz w:val="20"/>
          <w:szCs w:val="20"/>
          <w:lang w:val="en-GB" w:eastAsia="en-US"/>
        </w:rPr>
        <w:tab/>
        <w:t xml:space="preserve">If RAN2 agrees that UE performs early compliance check, when UE finds that it does not comply with a CHO </w:t>
      </w:r>
      <w:r w:rsidR="00A807E8">
        <w:rPr>
          <w:rFonts w:ascii="Arial" w:hAnsi="Arial" w:cs="Arial"/>
          <w:b/>
          <w:sz w:val="20"/>
          <w:szCs w:val="20"/>
          <w:lang w:val="en-GB" w:eastAsia="en-US"/>
        </w:rPr>
        <w:t xml:space="preserve">target cell configurations, </w:t>
      </w:r>
      <w:r w:rsidRPr="00D4657B">
        <w:rPr>
          <w:rFonts w:ascii="Arial" w:hAnsi="Arial" w:cs="Arial"/>
          <w:b/>
          <w:sz w:val="20"/>
          <w:szCs w:val="20"/>
          <w:lang w:val="en-GB" w:eastAsia="en-US"/>
        </w:rPr>
        <w:t>UE simply ignores the CHO configurations and does not initiate RRC re-establishment.</w:t>
      </w:r>
    </w:p>
    <w:p w14:paraId="64AB8E7B" w14:textId="7D834E33" w:rsidR="00C93CF4" w:rsidRDefault="00D33F34" w:rsidP="00425D52">
      <w:pPr>
        <w:spacing w:after="120"/>
        <w:ind w:left="1440" w:hanging="1440"/>
        <w:jc w:val="both"/>
        <w:rPr>
          <w:rFonts w:ascii="Arial" w:hAnsi="Arial" w:cs="Arial"/>
          <w:b/>
          <w:sz w:val="20"/>
          <w:szCs w:val="20"/>
          <w:lang w:val="en-GB" w:eastAsia="en-US"/>
        </w:rPr>
      </w:pPr>
      <w:r w:rsidRPr="00D4657B">
        <w:rPr>
          <w:rFonts w:ascii="Arial" w:hAnsi="Arial" w:cs="Arial"/>
          <w:b/>
          <w:sz w:val="20"/>
          <w:szCs w:val="20"/>
          <w:lang w:val="en-GB" w:eastAsia="en-US"/>
        </w:rPr>
        <w:t xml:space="preserve">Proposal </w:t>
      </w:r>
      <w:r>
        <w:rPr>
          <w:rFonts w:ascii="Arial" w:hAnsi="Arial" w:cs="Arial"/>
          <w:b/>
          <w:sz w:val="20"/>
          <w:szCs w:val="20"/>
          <w:lang w:val="en-GB" w:eastAsia="en-US"/>
        </w:rPr>
        <w:t>3</w:t>
      </w:r>
      <w:r w:rsidRPr="00D4657B">
        <w:rPr>
          <w:rFonts w:ascii="Arial" w:hAnsi="Arial" w:cs="Arial"/>
          <w:b/>
          <w:sz w:val="20"/>
          <w:szCs w:val="20"/>
          <w:lang w:val="en-GB" w:eastAsia="en-US"/>
        </w:rPr>
        <w:t>:</w:t>
      </w:r>
      <w:r w:rsidRPr="00D4657B">
        <w:rPr>
          <w:rFonts w:ascii="Arial" w:hAnsi="Arial" w:cs="Arial"/>
          <w:b/>
          <w:sz w:val="20"/>
          <w:szCs w:val="20"/>
          <w:lang w:val="en-GB" w:eastAsia="en-US"/>
        </w:rPr>
        <w:tab/>
        <w:t>If RAN2 agrees that UE</w:t>
      </w:r>
      <w:r>
        <w:rPr>
          <w:rFonts w:ascii="Arial" w:hAnsi="Arial" w:cs="Arial"/>
          <w:b/>
          <w:sz w:val="20"/>
          <w:szCs w:val="20"/>
          <w:lang w:val="en-GB" w:eastAsia="en-US"/>
        </w:rPr>
        <w:t xml:space="preserve"> performs late</w:t>
      </w:r>
      <w:r w:rsidRPr="00D4657B">
        <w:rPr>
          <w:rFonts w:ascii="Arial" w:hAnsi="Arial" w:cs="Arial"/>
          <w:b/>
          <w:sz w:val="20"/>
          <w:szCs w:val="20"/>
          <w:lang w:val="en-GB" w:eastAsia="en-US"/>
        </w:rPr>
        <w:t xml:space="preserve"> compliance check, when UE finds that it does not comply with a CHO </w:t>
      </w:r>
      <w:r w:rsidR="00A807E8">
        <w:rPr>
          <w:rFonts w:ascii="Arial" w:hAnsi="Arial" w:cs="Arial"/>
          <w:b/>
          <w:sz w:val="20"/>
          <w:szCs w:val="20"/>
          <w:lang w:val="en-GB" w:eastAsia="en-US"/>
        </w:rPr>
        <w:t xml:space="preserve">target cell configurations, </w:t>
      </w:r>
      <w:r w:rsidRPr="00D4657B">
        <w:rPr>
          <w:rFonts w:ascii="Arial" w:hAnsi="Arial" w:cs="Arial"/>
          <w:b/>
          <w:sz w:val="20"/>
          <w:szCs w:val="20"/>
          <w:lang w:val="en-GB" w:eastAsia="en-US"/>
        </w:rPr>
        <w:t>UE initiate</w:t>
      </w:r>
      <w:r>
        <w:rPr>
          <w:rFonts w:ascii="Arial" w:hAnsi="Arial" w:cs="Arial"/>
          <w:b/>
          <w:sz w:val="20"/>
          <w:szCs w:val="20"/>
          <w:lang w:val="en-GB" w:eastAsia="en-US"/>
        </w:rPr>
        <w:t>s</w:t>
      </w:r>
      <w:r w:rsidRPr="00D4657B">
        <w:rPr>
          <w:rFonts w:ascii="Arial" w:hAnsi="Arial" w:cs="Arial"/>
          <w:b/>
          <w:sz w:val="20"/>
          <w:szCs w:val="20"/>
          <w:lang w:val="en-GB" w:eastAsia="en-US"/>
        </w:rPr>
        <w:t xml:space="preserve"> RRC re-establishment</w:t>
      </w:r>
      <w:r>
        <w:rPr>
          <w:rFonts w:ascii="Arial" w:hAnsi="Arial" w:cs="Arial"/>
          <w:b/>
          <w:sz w:val="20"/>
          <w:szCs w:val="20"/>
          <w:lang w:val="en-GB" w:eastAsia="en-US"/>
        </w:rPr>
        <w:t xml:space="preserve"> if there is no other CHO configurations available</w:t>
      </w:r>
      <w:r w:rsidRPr="00D4657B">
        <w:rPr>
          <w:rFonts w:ascii="Arial" w:hAnsi="Arial" w:cs="Arial"/>
          <w:b/>
          <w:sz w:val="20"/>
          <w:szCs w:val="20"/>
          <w:lang w:val="en-GB" w:eastAsia="en-US"/>
        </w:rPr>
        <w:t>.</w:t>
      </w:r>
      <w:r>
        <w:rPr>
          <w:rFonts w:ascii="Arial" w:hAnsi="Arial" w:cs="Arial"/>
          <w:b/>
          <w:sz w:val="20"/>
          <w:szCs w:val="20"/>
          <w:lang w:val="en-GB" w:eastAsia="en-US"/>
        </w:rPr>
        <w:t xml:space="preserve"> Otherwise, the UE may executes CHO to another CHO target cell. The CHO configuration failure is not considered as CHO failure.</w:t>
      </w:r>
    </w:p>
    <w:p w14:paraId="09F52998" w14:textId="23649BC7" w:rsidR="009F3BDF" w:rsidRPr="00D33F34" w:rsidRDefault="009F3BDF" w:rsidP="009F3BDF">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4:</w:t>
      </w:r>
      <w:r>
        <w:rPr>
          <w:rFonts w:ascii="Arial" w:hAnsi="Arial" w:cs="Arial"/>
          <w:b/>
          <w:sz w:val="20"/>
          <w:szCs w:val="20"/>
          <w:lang w:val="en-GB" w:eastAsia="en-US"/>
        </w:rPr>
        <w:tab/>
        <w:t>The CHO configuration failure is not considered as CHO failure.</w:t>
      </w:r>
      <w:bookmarkStart w:id="7" w:name="_GoBack"/>
      <w:bookmarkEnd w:id="7"/>
    </w:p>
    <w:p w14:paraId="1CD51B74" w14:textId="77777777" w:rsidR="00A07E02" w:rsidRPr="007E063A" w:rsidRDefault="007E37A2" w:rsidP="00A07E02">
      <w:pPr>
        <w:pStyle w:val="1"/>
        <w:overflowPunct w:val="0"/>
        <w:autoSpaceDE w:val="0"/>
        <w:autoSpaceDN w:val="0"/>
        <w:adjustRightInd w:val="0"/>
        <w:rPr>
          <w:rFonts w:eastAsia="新細明體" w:cs="Arial"/>
        </w:rPr>
      </w:pPr>
      <w:r w:rsidRPr="007E063A">
        <w:rPr>
          <w:rFonts w:eastAsia="新細明體" w:cs="Arial"/>
          <w:lang w:eastAsia="zh-TW"/>
        </w:rPr>
        <w:t>R</w:t>
      </w:r>
      <w:r w:rsidR="00A07E02" w:rsidRPr="007E063A">
        <w:rPr>
          <w:rFonts w:eastAsia="新細明體" w:cs="Arial"/>
        </w:rPr>
        <w:t>eference</w:t>
      </w:r>
    </w:p>
    <w:p w14:paraId="70E6315B" w14:textId="11CC5FF5" w:rsidR="00514106" w:rsidRDefault="006B7D20" w:rsidP="00943E49">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eastAsia="en-US"/>
        </w:rPr>
        <w:t>RAN2#107bis Chairman’s note</w:t>
      </w:r>
    </w:p>
    <w:p w14:paraId="2CD42EC2" w14:textId="77777777" w:rsidR="001C087F" w:rsidRPr="001C087F" w:rsidRDefault="001C087F" w:rsidP="001C087F">
      <w:pPr>
        <w:overflowPunct w:val="0"/>
        <w:autoSpaceDE w:val="0"/>
        <w:autoSpaceDN w:val="0"/>
        <w:adjustRightInd w:val="0"/>
        <w:spacing w:after="120"/>
        <w:jc w:val="both"/>
        <w:rPr>
          <w:rFonts w:ascii="Arial" w:hAnsi="Arial" w:cs="Arial"/>
          <w:sz w:val="20"/>
          <w:szCs w:val="20"/>
        </w:rPr>
      </w:pPr>
    </w:p>
    <w:sectPr w:rsidR="001C087F" w:rsidRPr="001C087F"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85B0E" w14:textId="77777777" w:rsidR="00B35DD7" w:rsidRDefault="00B35DD7">
      <w:pPr>
        <w:pStyle w:val="TAL"/>
      </w:pPr>
      <w:r>
        <w:separator/>
      </w:r>
    </w:p>
  </w:endnote>
  <w:endnote w:type="continuationSeparator" w:id="0">
    <w:p w14:paraId="0E4E9E06" w14:textId="77777777" w:rsidR="00B35DD7" w:rsidRDefault="00B35DD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9F3BDF">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1CAF5" w14:textId="77777777" w:rsidR="00B35DD7" w:rsidRDefault="00B35DD7">
      <w:pPr>
        <w:pStyle w:val="TAL"/>
      </w:pPr>
      <w:r>
        <w:separator/>
      </w:r>
    </w:p>
  </w:footnote>
  <w:footnote w:type="continuationSeparator" w:id="0">
    <w:p w14:paraId="62AC6F25" w14:textId="77777777" w:rsidR="00B35DD7" w:rsidRDefault="00B35DD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1A44"/>
    <w:rsid w:val="00032166"/>
    <w:rsid w:val="00032392"/>
    <w:rsid w:val="00032986"/>
    <w:rsid w:val="00032A3A"/>
    <w:rsid w:val="00032D83"/>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B84"/>
    <w:rsid w:val="00042441"/>
    <w:rsid w:val="000428DF"/>
    <w:rsid w:val="00042B03"/>
    <w:rsid w:val="00043468"/>
    <w:rsid w:val="00043CDC"/>
    <w:rsid w:val="000440A0"/>
    <w:rsid w:val="0004447C"/>
    <w:rsid w:val="00044729"/>
    <w:rsid w:val="00044BD0"/>
    <w:rsid w:val="00044CE9"/>
    <w:rsid w:val="00045D96"/>
    <w:rsid w:val="00045E04"/>
    <w:rsid w:val="00045F79"/>
    <w:rsid w:val="00046074"/>
    <w:rsid w:val="00046318"/>
    <w:rsid w:val="00046662"/>
    <w:rsid w:val="000469D9"/>
    <w:rsid w:val="00046D9C"/>
    <w:rsid w:val="0004794C"/>
    <w:rsid w:val="00047B84"/>
    <w:rsid w:val="000501D3"/>
    <w:rsid w:val="00050679"/>
    <w:rsid w:val="000506DC"/>
    <w:rsid w:val="00050936"/>
    <w:rsid w:val="00050AB9"/>
    <w:rsid w:val="00050FB5"/>
    <w:rsid w:val="000517D9"/>
    <w:rsid w:val="00051B79"/>
    <w:rsid w:val="00051D4C"/>
    <w:rsid w:val="00051E85"/>
    <w:rsid w:val="0005249D"/>
    <w:rsid w:val="000528EE"/>
    <w:rsid w:val="00052B1E"/>
    <w:rsid w:val="0005301C"/>
    <w:rsid w:val="000538BD"/>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D44"/>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DF5"/>
    <w:rsid w:val="00073F74"/>
    <w:rsid w:val="00073F79"/>
    <w:rsid w:val="000748B9"/>
    <w:rsid w:val="00075D95"/>
    <w:rsid w:val="0007612D"/>
    <w:rsid w:val="00076AB1"/>
    <w:rsid w:val="00076DA4"/>
    <w:rsid w:val="000771A9"/>
    <w:rsid w:val="00077A44"/>
    <w:rsid w:val="00077AA6"/>
    <w:rsid w:val="00077D9E"/>
    <w:rsid w:val="0008028B"/>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6675"/>
    <w:rsid w:val="000866C9"/>
    <w:rsid w:val="00087334"/>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754"/>
    <w:rsid w:val="00114768"/>
    <w:rsid w:val="00114FCA"/>
    <w:rsid w:val="0011588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4FB1"/>
    <w:rsid w:val="0012588C"/>
    <w:rsid w:val="00125AB6"/>
    <w:rsid w:val="00126852"/>
    <w:rsid w:val="00126941"/>
    <w:rsid w:val="00126E60"/>
    <w:rsid w:val="001274C6"/>
    <w:rsid w:val="00127CBC"/>
    <w:rsid w:val="00127F4D"/>
    <w:rsid w:val="001302C7"/>
    <w:rsid w:val="001306AA"/>
    <w:rsid w:val="00130FB7"/>
    <w:rsid w:val="001314A0"/>
    <w:rsid w:val="00131B50"/>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98C"/>
    <w:rsid w:val="00142A83"/>
    <w:rsid w:val="00142D75"/>
    <w:rsid w:val="001436D1"/>
    <w:rsid w:val="00144732"/>
    <w:rsid w:val="00144BD2"/>
    <w:rsid w:val="00144ED0"/>
    <w:rsid w:val="001454B8"/>
    <w:rsid w:val="00145581"/>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419B"/>
    <w:rsid w:val="001549CE"/>
    <w:rsid w:val="00156604"/>
    <w:rsid w:val="001566D5"/>
    <w:rsid w:val="0015750D"/>
    <w:rsid w:val="001576E1"/>
    <w:rsid w:val="00157CBF"/>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766"/>
    <w:rsid w:val="00171B49"/>
    <w:rsid w:val="00172490"/>
    <w:rsid w:val="00172831"/>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3B49"/>
    <w:rsid w:val="001B3F51"/>
    <w:rsid w:val="001B4626"/>
    <w:rsid w:val="001B5707"/>
    <w:rsid w:val="001B6824"/>
    <w:rsid w:val="001B6C75"/>
    <w:rsid w:val="001B7803"/>
    <w:rsid w:val="001C087F"/>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1F5D"/>
    <w:rsid w:val="002024F8"/>
    <w:rsid w:val="00202654"/>
    <w:rsid w:val="00203027"/>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1EF7"/>
    <w:rsid w:val="00222989"/>
    <w:rsid w:val="00222D52"/>
    <w:rsid w:val="00222F85"/>
    <w:rsid w:val="00223655"/>
    <w:rsid w:val="00223EFD"/>
    <w:rsid w:val="00224016"/>
    <w:rsid w:val="0022431F"/>
    <w:rsid w:val="00224427"/>
    <w:rsid w:val="0022532C"/>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407FF"/>
    <w:rsid w:val="00240FA7"/>
    <w:rsid w:val="00240FC8"/>
    <w:rsid w:val="0024222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A76"/>
    <w:rsid w:val="00255F29"/>
    <w:rsid w:val="002562A2"/>
    <w:rsid w:val="00257196"/>
    <w:rsid w:val="00257292"/>
    <w:rsid w:val="00257BB0"/>
    <w:rsid w:val="00260637"/>
    <w:rsid w:val="00260790"/>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6F53"/>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B12"/>
    <w:rsid w:val="002B1B5F"/>
    <w:rsid w:val="002B1DE4"/>
    <w:rsid w:val="002B1FFE"/>
    <w:rsid w:val="002B207E"/>
    <w:rsid w:val="002B285A"/>
    <w:rsid w:val="002B2EF6"/>
    <w:rsid w:val="002B3425"/>
    <w:rsid w:val="002B34BE"/>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C37"/>
    <w:rsid w:val="002F26EB"/>
    <w:rsid w:val="002F2845"/>
    <w:rsid w:val="002F2EFC"/>
    <w:rsid w:val="002F3384"/>
    <w:rsid w:val="002F35F9"/>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1F2"/>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51A"/>
    <w:rsid w:val="0033178E"/>
    <w:rsid w:val="00331D2F"/>
    <w:rsid w:val="003323DE"/>
    <w:rsid w:val="00332D39"/>
    <w:rsid w:val="00332E0D"/>
    <w:rsid w:val="00333657"/>
    <w:rsid w:val="00333816"/>
    <w:rsid w:val="00333A7F"/>
    <w:rsid w:val="00334E84"/>
    <w:rsid w:val="003350F4"/>
    <w:rsid w:val="00335B2A"/>
    <w:rsid w:val="00336736"/>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325"/>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74F"/>
    <w:rsid w:val="00367E04"/>
    <w:rsid w:val="003700D4"/>
    <w:rsid w:val="00371080"/>
    <w:rsid w:val="0037125F"/>
    <w:rsid w:val="00371485"/>
    <w:rsid w:val="0037242A"/>
    <w:rsid w:val="00372A89"/>
    <w:rsid w:val="00373172"/>
    <w:rsid w:val="003732A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62C9"/>
    <w:rsid w:val="003874C3"/>
    <w:rsid w:val="0039047F"/>
    <w:rsid w:val="003904DC"/>
    <w:rsid w:val="00390598"/>
    <w:rsid w:val="003907EA"/>
    <w:rsid w:val="00390B63"/>
    <w:rsid w:val="00390BD2"/>
    <w:rsid w:val="0039128A"/>
    <w:rsid w:val="003912FD"/>
    <w:rsid w:val="003914B2"/>
    <w:rsid w:val="00391B9E"/>
    <w:rsid w:val="00392BCB"/>
    <w:rsid w:val="00392FB1"/>
    <w:rsid w:val="00394803"/>
    <w:rsid w:val="003950A4"/>
    <w:rsid w:val="00395D78"/>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09B4"/>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2A"/>
    <w:rsid w:val="003F7BDA"/>
    <w:rsid w:val="0040008C"/>
    <w:rsid w:val="00400904"/>
    <w:rsid w:val="00400BAA"/>
    <w:rsid w:val="00400DF3"/>
    <w:rsid w:val="004011E4"/>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7137"/>
    <w:rsid w:val="00407A74"/>
    <w:rsid w:val="00411153"/>
    <w:rsid w:val="004118E1"/>
    <w:rsid w:val="00412215"/>
    <w:rsid w:val="004122A9"/>
    <w:rsid w:val="00412B14"/>
    <w:rsid w:val="0041338B"/>
    <w:rsid w:val="004139A2"/>
    <w:rsid w:val="00414729"/>
    <w:rsid w:val="00414B67"/>
    <w:rsid w:val="00414BC5"/>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10C"/>
    <w:rsid w:val="0042447E"/>
    <w:rsid w:val="004246F3"/>
    <w:rsid w:val="00425106"/>
    <w:rsid w:val="004254C7"/>
    <w:rsid w:val="00425539"/>
    <w:rsid w:val="0042560A"/>
    <w:rsid w:val="00425D52"/>
    <w:rsid w:val="00425D63"/>
    <w:rsid w:val="00425DD9"/>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39"/>
    <w:rsid w:val="004328F4"/>
    <w:rsid w:val="00432A57"/>
    <w:rsid w:val="00432BA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99E"/>
    <w:rsid w:val="00471AE3"/>
    <w:rsid w:val="00471B30"/>
    <w:rsid w:val="00471DE3"/>
    <w:rsid w:val="00472411"/>
    <w:rsid w:val="00473A85"/>
    <w:rsid w:val="00474A22"/>
    <w:rsid w:val="00474DF7"/>
    <w:rsid w:val="00474FE2"/>
    <w:rsid w:val="00475758"/>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4539"/>
    <w:rsid w:val="004951AE"/>
    <w:rsid w:val="004960C9"/>
    <w:rsid w:val="00496788"/>
    <w:rsid w:val="00496951"/>
    <w:rsid w:val="00496AB4"/>
    <w:rsid w:val="00496E05"/>
    <w:rsid w:val="00497067"/>
    <w:rsid w:val="004973BD"/>
    <w:rsid w:val="004A0001"/>
    <w:rsid w:val="004A0346"/>
    <w:rsid w:val="004A04F0"/>
    <w:rsid w:val="004A0742"/>
    <w:rsid w:val="004A09C1"/>
    <w:rsid w:val="004A09D3"/>
    <w:rsid w:val="004A0BC3"/>
    <w:rsid w:val="004A0D08"/>
    <w:rsid w:val="004A293E"/>
    <w:rsid w:val="004A2B2D"/>
    <w:rsid w:val="004A405C"/>
    <w:rsid w:val="004A410B"/>
    <w:rsid w:val="004A4E89"/>
    <w:rsid w:val="004A5065"/>
    <w:rsid w:val="004A5BF7"/>
    <w:rsid w:val="004A65D7"/>
    <w:rsid w:val="004A673A"/>
    <w:rsid w:val="004A6A02"/>
    <w:rsid w:val="004A6A07"/>
    <w:rsid w:val="004A6CF9"/>
    <w:rsid w:val="004A70CC"/>
    <w:rsid w:val="004A7231"/>
    <w:rsid w:val="004A73C4"/>
    <w:rsid w:val="004A778D"/>
    <w:rsid w:val="004B0A27"/>
    <w:rsid w:val="004B0A74"/>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958"/>
    <w:rsid w:val="004E0A01"/>
    <w:rsid w:val="004E0AAD"/>
    <w:rsid w:val="004E1C6D"/>
    <w:rsid w:val="004E287E"/>
    <w:rsid w:val="004E343F"/>
    <w:rsid w:val="004E385D"/>
    <w:rsid w:val="004E3FEB"/>
    <w:rsid w:val="004E4932"/>
    <w:rsid w:val="004E57BB"/>
    <w:rsid w:val="004E5C8E"/>
    <w:rsid w:val="004E5CF9"/>
    <w:rsid w:val="004E625A"/>
    <w:rsid w:val="004E6371"/>
    <w:rsid w:val="004E63DA"/>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0CB"/>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72E"/>
    <w:rsid w:val="005617A5"/>
    <w:rsid w:val="00561964"/>
    <w:rsid w:val="00561AF1"/>
    <w:rsid w:val="00561AF4"/>
    <w:rsid w:val="00561C4E"/>
    <w:rsid w:val="005621B4"/>
    <w:rsid w:val="0056272F"/>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941"/>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AC"/>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0F23"/>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44FF"/>
    <w:rsid w:val="005E4C6A"/>
    <w:rsid w:val="005E4DA7"/>
    <w:rsid w:val="005E5947"/>
    <w:rsid w:val="005E5A60"/>
    <w:rsid w:val="005E5AD8"/>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558"/>
    <w:rsid w:val="005F7A3E"/>
    <w:rsid w:val="005F7BB6"/>
    <w:rsid w:val="005F7EF7"/>
    <w:rsid w:val="006001CB"/>
    <w:rsid w:val="006009C2"/>
    <w:rsid w:val="00600E91"/>
    <w:rsid w:val="00600EEB"/>
    <w:rsid w:val="00601355"/>
    <w:rsid w:val="006025D0"/>
    <w:rsid w:val="00602845"/>
    <w:rsid w:val="00603BA8"/>
    <w:rsid w:val="00603F5F"/>
    <w:rsid w:val="0060452B"/>
    <w:rsid w:val="00604BFF"/>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056"/>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3F8"/>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38"/>
    <w:rsid w:val="0064765E"/>
    <w:rsid w:val="00647749"/>
    <w:rsid w:val="006477F2"/>
    <w:rsid w:val="00647816"/>
    <w:rsid w:val="00647EC7"/>
    <w:rsid w:val="00650079"/>
    <w:rsid w:val="006504FD"/>
    <w:rsid w:val="0065069C"/>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1147"/>
    <w:rsid w:val="006B2CDC"/>
    <w:rsid w:val="006B3124"/>
    <w:rsid w:val="006B3D6F"/>
    <w:rsid w:val="006B4375"/>
    <w:rsid w:val="006B45A2"/>
    <w:rsid w:val="006B4B8E"/>
    <w:rsid w:val="006B53EF"/>
    <w:rsid w:val="006B552A"/>
    <w:rsid w:val="006B5645"/>
    <w:rsid w:val="006B5C55"/>
    <w:rsid w:val="006B5D68"/>
    <w:rsid w:val="006B6B68"/>
    <w:rsid w:val="006B6FA4"/>
    <w:rsid w:val="006B6FBB"/>
    <w:rsid w:val="006B700C"/>
    <w:rsid w:val="006B71BC"/>
    <w:rsid w:val="006B76C0"/>
    <w:rsid w:val="006B7A01"/>
    <w:rsid w:val="006B7ADE"/>
    <w:rsid w:val="006B7CFC"/>
    <w:rsid w:val="006B7D20"/>
    <w:rsid w:val="006C03D9"/>
    <w:rsid w:val="006C0420"/>
    <w:rsid w:val="006C0506"/>
    <w:rsid w:val="006C0779"/>
    <w:rsid w:val="006C0980"/>
    <w:rsid w:val="006C0AFB"/>
    <w:rsid w:val="006C15B8"/>
    <w:rsid w:val="006C1F52"/>
    <w:rsid w:val="006C23A3"/>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03BF"/>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5536"/>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A1F"/>
    <w:rsid w:val="00711E36"/>
    <w:rsid w:val="00714B43"/>
    <w:rsid w:val="00714B68"/>
    <w:rsid w:val="00714FE9"/>
    <w:rsid w:val="0071529C"/>
    <w:rsid w:val="007155E5"/>
    <w:rsid w:val="0071561E"/>
    <w:rsid w:val="00715BD0"/>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419A"/>
    <w:rsid w:val="00734460"/>
    <w:rsid w:val="007348D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5DB1"/>
    <w:rsid w:val="00786343"/>
    <w:rsid w:val="0078647D"/>
    <w:rsid w:val="00786868"/>
    <w:rsid w:val="00786BAB"/>
    <w:rsid w:val="007874E1"/>
    <w:rsid w:val="00787E4F"/>
    <w:rsid w:val="00787EA5"/>
    <w:rsid w:val="00787F5A"/>
    <w:rsid w:val="00790098"/>
    <w:rsid w:val="007901F1"/>
    <w:rsid w:val="007912A9"/>
    <w:rsid w:val="0079138F"/>
    <w:rsid w:val="007922A0"/>
    <w:rsid w:val="0079244D"/>
    <w:rsid w:val="00792624"/>
    <w:rsid w:val="00793257"/>
    <w:rsid w:val="007936A7"/>
    <w:rsid w:val="00793F78"/>
    <w:rsid w:val="00794721"/>
    <w:rsid w:val="00794A63"/>
    <w:rsid w:val="00794B2C"/>
    <w:rsid w:val="0079533C"/>
    <w:rsid w:val="0079552F"/>
    <w:rsid w:val="00796007"/>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8B2"/>
    <w:rsid w:val="007A4CB6"/>
    <w:rsid w:val="007A5039"/>
    <w:rsid w:val="007A53B0"/>
    <w:rsid w:val="007A5433"/>
    <w:rsid w:val="007A54C8"/>
    <w:rsid w:val="007A5832"/>
    <w:rsid w:val="007A5F46"/>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B546B"/>
    <w:rsid w:val="007C1082"/>
    <w:rsid w:val="007C1A4A"/>
    <w:rsid w:val="007C1CF3"/>
    <w:rsid w:val="007C1E72"/>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0BD"/>
    <w:rsid w:val="007D06EA"/>
    <w:rsid w:val="007D1C03"/>
    <w:rsid w:val="007D24CD"/>
    <w:rsid w:val="007D28DA"/>
    <w:rsid w:val="007D3397"/>
    <w:rsid w:val="007D4033"/>
    <w:rsid w:val="007D4599"/>
    <w:rsid w:val="007D5155"/>
    <w:rsid w:val="007D55F5"/>
    <w:rsid w:val="007D59A2"/>
    <w:rsid w:val="007D6E3E"/>
    <w:rsid w:val="007D7C49"/>
    <w:rsid w:val="007D7D44"/>
    <w:rsid w:val="007D7DE5"/>
    <w:rsid w:val="007D7F36"/>
    <w:rsid w:val="007E056C"/>
    <w:rsid w:val="007E05E7"/>
    <w:rsid w:val="007E063A"/>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16B"/>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30B"/>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CB"/>
    <w:rsid w:val="008458E9"/>
    <w:rsid w:val="0084616E"/>
    <w:rsid w:val="008461DA"/>
    <w:rsid w:val="008462A3"/>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3088"/>
    <w:rsid w:val="008545BB"/>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6056"/>
    <w:rsid w:val="00866FE4"/>
    <w:rsid w:val="00867258"/>
    <w:rsid w:val="00867A83"/>
    <w:rsid w:val="00870403"/>
    <w:rsid w:val="00870B54"/>
    <w:rsid w:val="00870BBF"/>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517A"/>
    <w:rsid w:val="00895250"/>
    <w:rsid w:val="0089569A"/>
    <w:rsid w:val="008957AF"/>
    <w:rsid w:val="008958F5"/>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3D9"/>
    <w:rsid w:val="008B356F"/>
    <w:rsid w:val="008B46FF"/>
    <w:rsid w:val="008B4DE7"/>
    <w:rsid w:val="008B552C"/>
    <w:rsid w:val="008B56BA"/>
    <w:rsid w:val="008B5731"/>
    <w:rsid w:val="008B5A99"/>
    <w:rsid w:val="008B5B50"/>
    <w:rsid w:val="008B5EF6"/>
    <w:rsid w:val="008B62BE"/>
    <w:rsid w:val="008B66CC"/>
    <w:rsid w:val="008B711E"/>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0AB"/>
    <w:rsid w:val="008D0561"/>
    <w:rsid w:val="008D0C27"/>
    <w:rsid w:val="008D1081"/>
    <w:rsid w:val="008D114E"/>
    <w:rsid w:val="008D11C3"/>
    <w:rsid w:val="008D1C38"/>
    <w:rsid w:val="008D2403"/>
    <w:rsid w:val="008D24E7"/>
    <w:rsid w:val="008D2C0E"/>
    <w:rsid w:val="008D327E"/>
    <w:rsid w:val="008D34D4"/>
    <w:rsid w:val="008D3923"/>
    <w:rsid w:val="008D3AB6"/>
    <w:rsid w:val="008D40B7"/>
    <w:rsid w:val="008D42DA"/>
    <w:rsid w:val="008D4541"/>
    <w:rsid w:val="008D458E"/>
    <w:rsid w:val="008D4602"/>
    <w:rsid w:val="008D4CB8"/>
    <w:rsid w:val="008D4CC0"/>
    <w:rsid w:val="008D4E3D"/>
    <w:rsid w:val="008D4ED3"/>
    <w:rsid w:val="008D5688"/>
    <w:rsid w:val="008D599A"/>
    <w:rsid w:val="008D5C72"/>
    <w:rsid w:val="008D6118"/>
    <w:rsid w:val="008D61B4"/>
    <w:rsid w:val="008D61D0"/>
    <w:rsid w:val="008D6A43"/>
    <w:rsid w:val="008D6C92"/>
    <w:rsid w:val="008D7282"/>
    <w:rsid w:val="008D7286"/>
    <w:rsid w:val="008D7765"/>
    <w:rsid w:val="008D77EF"/>
    <w:rsid w:val="008D7967"/>
    <w:rsid w:val="008D7A2F"/>
    <w:rsid w:val="008E0967"/>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16FC"/>
    <w:rsid w:val="008F1759"/>
    <w:rsid w:val="008F25E9"/>
    <w:rsid w:val="008F2620"/>
    <w:rsid w:val="008F27C8"/>
    <w:rsid w:val="008F2ACE"/>
    <w:rsid w:val="008F33EA"/>
    <w:rsid w:val="008F344A"/>
    <w:rsid w:val="008F3582"/>
    <w:rsid w:val="008F394F"/>
    <w:rsid w:val="008F3AC8"/>
    <w:rsid w:val="008F3E0B"/>
    <w:rsid w:val="008F3EAB"/>
    <w:rsid w:val="008F428B"/>
    <w:rsid w:val="008F49A8"/>
    <w:rsid w:val="008F4D41"/>
    <w:rsid w:val="008F4E76"/>
    <w:rsid w:val="008F4E95"/>
    <w:rsid w:val="008F50EF"/>
    <w:rsid w:val="008F53A4"/>
    <w:rsid w:val="008F53E4"/>
    <w:rsid w:val="008F57DB"/>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D0C"/>
    <w:rsid w:val="00990DBC"/>
    <w:rsid w:val="00991194"/>
    <w:rsid w:val="009918C3"/>
    <w:rsid w:val="0099196F"/>
    <w:rsid w:val="00991A9E"/>
    <w:rsid w:val="00991B14"/>
    <w:rsid w:val="009920EB"/>
    <w:rsid w:val="00992548"/>
    <w:rsid w:val="00992E32"/>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E0"/>
    <w:rsid w:val="009E25C3"/>
    <w:rsid w:val="009E28E2"/>
    <w:rsid w:val="009E2A56"/>
    <w:rsid w:val="009E2F65"/>
    <w:rsid w:val="009E3FB6"/>
    <w:rsid w:val="009E4225"/>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BDF"/>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0884"/>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C5C"/>
    <w:rsid w:val="00A16EBA"/>
    <w:rsid w:val="00A16F7A"/>
    <w:rsid w:val="00A1719B"/>
    <w:rsid w:val="00A17436"/>
    <w:rsid w:val="00A204CB"/>
    <w:rsid w:val="00A20DAE"/>
    <w:rsid w:val="00A21186"/>
    <w:rsid w:val="00A212E5"/>
    <w:rsid w:val="00A217F0"/>
    <w:rsid w:val="00A21D65"/>
    <w:rsid w:val="00A221AA"/>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47"/>
    <w:rsid w:val="00A27297"/>
    <w:rsid w:val="00A275E1"/>
    <w:rsid w:val="00A27977"/>
    <w:rsid w:val="00A30939"/>
    <w:rsid w:val="00A30C85"/>
    <w:rsid w:val="00A30F1E"/>
    <w:rsid w:val="00A31368"/>
    <w:rsid w:val="00A32733"/>
    <w:rsid w:val="00A3425F"/>
    <w:rsid w:val="00A34C00"/>
    <w:rsid w:val="00A3502C"/>
    <w:rsid w:val="00A355ED"/>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E05"/>
    <w:rsid w:val="00A53EB5"/>
    <w:rsid w:val="00A54006"/>
    <w:rsid w:val="00A5435F"/>
    <w:rsid w:val="00A54A21"/>
    <w:rsid w:val="00A54A35"/>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99"/>
    <w:rsid w:val="00A95425"/>
    <w:rsid w:val="00A95493"/>
    <w:rsid w:val="00A95BD8"/>
    <w:rsid w:val="00A95BF5"/>
    <w:rsid w:val="00A95C1B"/>
    <w:rsid w:val="00A95E17"/>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5DD7"/>
    <w:rsid w:val="00B3605F"/>
    <w:rsid w:val="00B36940"/>
    <w:rsid w:val="00B36A4A"/>
    <w:rsid w:val="00B36D16"/>
    <w:rsid w:val="00B36F1D"/>
    <w:rsid w:val="00B37907"/>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BA1"/>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170"/>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68C"/>
    <w:rsid w:val="00B72970"/>
    <w:rsid w:val="00B7384A"/>
    <w:rsid w:val="00B73F25"/>
    <w:rsid w:val="00B751A1"/>
    <w:rsid w:val="00B75663"/>
    <w:rsid w:val="00B75838"/>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9E1"/>
    <w:rsid w:val="00B87ED0"/>
    <w:rsid w:val="00B90FD2"/>
    <w:rsid w:val="00B91152"/>
    <w:rsid w:val="00B9173C"/>
    <w:rsid w:val="00B9278D"/>
    <w:rsid w:val="00B929B9"/>
    <w:rsid w:val="00B92B34"/>
    <w:rsid w:val="00B93441"/>
    <w:rsid w:val="00B93F04"/>
    <w:rsid w:val="00B942DF"/>
    <w:rsid w:val="00B9450D"/>
    <w:rsid w:val="00B94FD9"/>
    <w:rsid w:val="00B95576"/>
    <w:rsid w:val="00B9599C"/>
    <w:rsid w:val="00B95C14"/>
    <w:rsid w:val="00B962CD"/>
    <w:rsid w:val="00B96386"/>
    <w:rsid w:val="00B96849"/>
    <w:rsid w:val="00B976CB"/>
    <w:rsid w:val="00B97DD2"/>
    <w:rsid w:val="00BA0542"/>
    <w:rsid w:val="00BA0A56"/>
    <w:rsid w:val="00BA0A62"/>
    <w:rsid w:val="00BA0B10"/>
    <w:rsid w:val="00BA0F56"/>
    <w:rsid w:val="00BA0FB5"/>
    <w:rsid w:val="00BA1076"/>
    <w:rsid w:val="00BA1449"/>
    <w:rsid w:val="00BA1A22"/>
    <w:rsid w:val="00BA1ECE"/>
    <w:rsid w:val="00BA20BD"/>
    <w:rsid w:val="00BA2314"/>
    <w:rsid w:val="00BA23AC"/>
    <w:rsid w:val="00BA2874"/>
    <w:rsid w:val="00BA2DF0"/>
    <w:rsid w:val="00BA3DCA"/>
    <w:rsid w:val="00BA43CE"/>
    <w:rsid w:val="00BA4B65"/>
    <w:rsid w:val="00BA4C30"/>
    <w:rsid w:val="00BA4FBC"/>
    <w:rsid w:val="00BA51D9"/>
    <w:rsid w:val="00BA5735"/>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881"/>
    <w:rsid w:val="00BE79D4"/>
    <w:rsid w:val="00BF0321"/>
    <w:rsid w:val="00BF070B"/>
    <w:rsid w:val="00BF13B6"/>
    <w:rsid w:val="00BF17EB"/>
    <w:rsid w:val="00BF184B"/>
    <w:rsid w:val="00BF1927"/>
    <w:rsid w:val="00BF21AF"/>
    <w:rsid w:val="00BF2D40"/>
    <w:rsid w:val="00BF3619"/>
    <w:rsid w:val="00BF36D6"/>
    <w:rsid w:val="00BF37D8"/>
    <w:rsid w:val="00BF3B12"/>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0AFB"/>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C02"/>
    <w:rsid w:val="00C11DEB"/>
    <w:rsid w:val="00C11E30"/>
    <w:rsid w:val="00C11E3A"/>
    <w:rsid w:val="00C11E60"/>
    <w:rsid w:val="00C12291"/>
    <w:rsid w:val="00C1256B"/>
    <w:rsid w:val="00C12E04"/>
    <w:rsid w:val="00C1305E"/>
    <w:rsid w:val="00C134DC"/>
    <w:rsid w:val="00C14344"/>
    <w:rsid w:val="00C1443A"/>
    <w:rsid w:val="00C14499"/>
    <w:rsid w:val="00C14963"/>
    <w:rsid w:val="00C14A94"/>
    <w:rsid w:val="00C1502A"/>
    <w:rsid w:val="00C15946"/>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482"/>
    <w:rsid w:val="00C2359E"/>
    <w:rsid w:val="00C2363D"/>
    <w:rsid w:val="00C24176"/>
    <w:rsid w:val="00C24635"/>
    <w:rsid w:val="00C2491D"/>
    <w:rsid w:val="00C25099"/>
    <w:rsid w:val="00C25C5D"/>
    <w:rsid w:val="00C25F4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65A"/>
    <w:rsid w:val="00C52B23"/>
    <w:rsid w:val="00C52FEA"/>
    <w:rsid w:val="00C53CD2"/>
    <w:rsid w:val="00C540FB"/>
    <w:rsid w:val="00C54668"/>
    <w:rsid w:val="00C54C98"/>
    <w:rsid w:val="00C556D1"/>
    <w:rsid w:val="00C55745"/>
    <w:rsid w:val="00C559FA"/>
    <w:rsid w:val="00C55A06"/>
    <w:rsid w:val="00C55F26"/>
    <w:rsid w:val="00C56225"/>
    <w:rsid w:val="00C56831"/>
    <w:rsid w:val="00C57751"/>
    <w:rsid w:val="00C57C91"/>
    <w:rsid w:val="00C57E31"/>
    <w:rsid w:val="00C57ED1"/>
    <w:rsid w:val="00C602EF"/>
    <w:rsid w:val="00C60569"/>
    <w:rsid w:val="00C60A7F"/>
    <w:rsid w:val="00C60F68"/>
    <w:rsid w:val="00C61555"/>
    <w:rsid w:val="00C61E58"/>
    <w:rsid w:val="00C61FDB"/>
    <w:rsid w:val="00C62196"/>
    <w:rsid w:val="00C62599"/>
    <w:rsid w:val="00C6267A"/>
    <w:rsid w:val="00C62A1D"/>
    <w:rsid w:val="00C634C4"/>
    <w:rsid w:val="00C63B35"/>
    <w:rsid w:val="00C63C60"/>
    <w:rsid w:val="00C64D0D"/>
    <w:rsid w:val="00C65933"/>
    <w:rsid w:val="00C660C4"/>
    <w:rsid w:val="00C660E8"/>
    <w:rsid w:val="00C660FE"/>
    <w:rsid w:val="00C67004"/>
    <w:rsid w:val="00C67067"/>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CF4"/>
    <w:rsid w:val="00C93E6D"/>
    <w:rsid w:val="00C944D6"/>
    <w:rsid w:val="00C967DE"/>
    <w:rsid w:val="00C97466"/>
    <w:rsid w:val="00C97747"/>
    <w:rsid w:val="00C979D8"/>
    <w:rsid w:val="00C97EF1"/>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127D"/>
    <w:rsid w:val="00CC252D"/>
    <w:rsid w:val="00CC353D"/>
    <w:rsid w:val="00CC38C6"/>
    <w:rsid w:val="00CC39AE"/>
    <w:rsid w:val="00CC3F37"/>
    <w:rsid w:val="00CC5006"/>
    <w:rsid w:val="00CC529F"/>
    <w:rsid w:val="00CC6506"/>
    <w:rsid w:val="00CC6C6E"/>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6FDF"/>
    <w:rsid w:val="00CD750F"/>
    <w:rsid w:val="00CD79CE"/>
    <w:rsid w:val="00CE0876"/>
    <w:rsid w:val="00CE0A77"/>
    <w:rsid w:val="00CE0B5F"/>
    <w:rsid w:val="00CE179B"/>
    <w:rsid w:val="00CE1CD5"/>
    <w:rsid w:val="00CE247A"/>
    <w:rsid w:val="00CE259F"/>
    <w:rsid w:val="00CE2882"/>
    <w:rsid w:val="00CE317B"/>
    <w:rsid w:val="00CE3489"/>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FE"/>
    <w:rsid w:val="00CF62C5"/>
    <w:rsid w:val="00CF67D1"/>
    <w:rsid w:val="00CF6C25"/>
    <w:rsid w:val="00CF6F7F"/>
    <w:rsid w:val="00CF6FC1"/>
    <w:rsid w:val="00CF7100"/>
    <w:rsid w:val="00CF785E"/>
    <w:rsid w:val="00CF7A2B"/>
    <w:rsid w:val="00D00388"/>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BAD"/>
    <w:rsid w:val="00D05577"/>
    <w:rsid w:val="00D05993"/>
    <w:rsid w:val="00D059AC"/>
    <w:rsid w:val="00D06040"/>
    <w:rsid w:val="00D06861"/>
    <w:rsid w:val="00D069FC"/>
    <w:rsid w:val="00D06ADA"/>
    <w:rsid w:val="00D07F67"/>
    <w:rsid w:val="00D10274"/>
    <w:rsid w:val="00D10A07"/>
    <w:rsid w:val="00D10D0E"/>
    <w:rsid w:val="00D10E22"/>
    <w:rsid w:val="00D10EA6"/>
    <w:rsid w:val="00D11113"/>
    <w:rsid w:val="00D113C2"/>
    <w:rsid w:val="00D11CE9"/>
    <w:rsid w:val="00D11E25"/>
    <w:rsid w:val="00D12639"/>
    <w:rsid w:val="00D12B02"/>
    <w:rsid w:val="00D12B6B"/>
    <w:rsid w:val="00D131E5"/>
    <w:rsid w:val="00D135FE"/>
    <w:rsid w:val="00D13C34"/>
    <w:rsid w:val="00D13E60"/>
    <w:rsid w:val="00D13F14"/>
    <w:rsid w:val="00D1433C"/>
    <w:rsid w:val="00D14954"/>
    <w:rsid w:val="00D15098"/>
    <w:rsid w:val="00D154B6"/>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3F34"/>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C48"/>
    <w:rsid w:val="00D519ED"/>
    <w:rsid w:val="00D526BD"/>
    <w:rsid w:val="00D536C4"/>
    <w:rsid w:val="00D546B8"/>
    <w:rsid w:val="00D54CF8"/>
    <w:rsid w:val="00D54D64"/>
    <w:rsid w:val="00D55098"/>
    <w:rsid w:val="00D55512"/>
    <w:rsid w:val="00D55974"/>
    <w:rsid w:val="00D55CA3"/>
    <w:rsid w:val="00D56BF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37"/>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994"/>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3BF"/>
    <w:rsid w:val="00DD621B"/>
    <w:rsid w:val="00DD6552"/>
    <w:rsid w:val="00DD68E5"/>
    <w:rsid w:val="00DD7161"/>
    <w:rsid w:val="00DD7250"/>
    <w:rsid w:val="00DD7671"/>
    <w:rsid w:val="00DD7E2B"/>
    <w:rsid w:val="00DE0354"/>
    <w:rsid w:val="00DE03AB"/>
    <w:rsid w:val="00DE0D2C"/>
    <w:rsid w:val="00DE139C"/>
    <w:rsid w:val="00DE1732"/>
    <w:rsid w:val="00DE1A70"/>
    <w:rsid w:val="00DE1AEE"/>
    <w:rsid w:val="00DE1D4E"/>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6E0E"/>
    <w:rsid w:val="00DF713D"/>
    <w:rsid w:val="00DF7664"/>
    <w:rsid w:val="00DF7980"/>
    <w:rsid w:val="00DF7B14"/>
    <w:rsid w:val="00DF7CC9"/>
    <w:rsid w:val="00E00668"/>
    <w:rsid w:val="00E00C1B"/>
    <w:rsid w:val="00E00FB5"/>
    <w:rsid w:val="00E00FC9"/>
    <w:rsid w:val="00E01098"/>
    <w:rsid w:val="00E012FC"/>
    <w:rsid w:val="00E020E5"/>
    <w:rsid w:val="00E02A00"/>
    <w:rsid w:val="00E04421"/>
    <w:rsid w:val="00E04681"/>
    <w:rsid w:val="00E057B1"/>
    <w:rsid w:val="00E05B1F"/>
    <w:rsid w:val="00E05B46"/>
    <w:rsid w:val="00E06150"/>
    <w:rsid w:val="00E067B9"/>
    <w:rsid w:val="00E06B36"/>
    <w:rsid w:val="00E06D9F"/>
    <w:rsid w:val="00E076F5"/>
    <w:rsid w:val="00E07784"/>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F15"/>
    <w:rsid w:val="00E2602E"/>
    <w:rsid w:val="00E26290"/>
    <w:rsid w:val="00E263CB"/>
    <w:rsid w:val="00E2642D"/>
    <w:rsid w:val="00E264F2"/>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A42"/>
    <w:rsid w:val="00E55DCB"/>
    <w:rsid w:val="00E56878"/>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A7C"/>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BA"/>
    <w:rsid w:val="00E866C4"/>
    <w:rsid w:val="00E86EC5"/>
    <w:rsid w:val="00E878B5"/>
    <w:rsid w:val="00E87D23"/>
    <w:rsid w:val="00E90DA9"/>
    <w:rsid w:val="00E90E9A"/>
    <w:rsid w:val="00E91054"/>
    <w:rsid w:val="00E916D1"/>
    <w:rsid w:val="00E92038"/>
    <w:rsid w:val="00E9252A"/>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619"/>
    <w:rsid w:val="00EB57EB"/>
    <w:rsid w:val="00EB5B0D"/>
    <w:rsid w:val="00EB5B44"/>
    <w:rsid w:val="00EB6123"/>
    <w:rsid w:val="00EB62FF"/>
    <w:rsid w:val="00EB67B9"/>
    <w:rsid w:val="00EB6D9C"/>
    <w:rsid w:val="00EB6E07"/>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10A0"/>
    <w:rsid w:val="00F010C8"/>
    <w:rsid w:val="00F013A4"/>
    <w:rsid w:val="00F01582"/>
    <w:rsid w:val="00F01D29"/>
    <w:rsid w:val="00F023BB"/>
    <w:rsid w:val="00F023D2"/>
    <w:rsid w:val="00F02AA5"/>
    <w:rsid w:val="00F02BF0"/>
    <w:rsid w:val="00F02FF9"/>
    <w:rsid w:val="00F0312F"/>
    <w:rsid w:val="00F038B2"/>
    <w:rsid w:val="00F040C0"/>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469F"/>
    <w:rsid w:val="00F35007"/>
    <w:rsid w:val="00F350A1"/>
    <w:rsid w:val="00F35598"/>
    <w:rsid w:val="00F35820"/>
    <w:rsid w:val="00F36235"/>
    <w:rsid w:val="00F36CA2"/>
    <w:rsid w:val="00F373E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010"/>
    <w:rsid w:val="00F521E4"/>
    <w:rsid w:val="00F529F9"/>
    <w:rsid w:val="00F52D06"/>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E01"/>
    <w:rsid w:val="00F6295A"/>
    <w:rsid w:val="00F63088"/>
    <w:rsid w:val="00F637E3"/>
    <w:rsid w:val="00F63AA3"/>
    <w:rsid w:val="00F64133"/>
    <w:rsid w:val="00F64168"/>
    <w:rsid w:val="00F64397"/>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79F"/>
    <w:rsid w:val="00F97A08"/>
    <w:rsid w:val="00F97E93"/>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09"/>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43EF"/>
    <w:rsid w:val="00FE4634"/>
    <w:rsid w:val="00FE46D0"/>
    <w:rsid w:val="00FE48EE"/>
    <w:rsid w:val="00FE4C99"/>
    <w:rsid w:val="00FE4F89"/>
    <w:rsid w:val="00FE5276"/>
    <w:rsid w:val="00FE5316"/>
    <w:rsid w:val="00FE60C1"/>
    <w:rsid w:val="00FE67D7"/>
    <w:rsid w:val="00FE68D7"/>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468D"/>
    <w:rsid w:val="00FF48DD"/>
    <w:rsid w:val="00FF4924"/>
    <w:rsid w:val="00FF5514"/>
    <w:rsid w:val="00FF6064"/>
    <w:rsid w:val="00FF6319"/>
    <w:rsid w:val="00FF7577"/>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50555ABE-C4A2-4F31-B068-408CAA00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2769</TotalTime>
  <Pages>3</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cp:lastModifiedBy>
  <cp:revision>301</cp:revision>
  <cp:lastPrinted>2007-12-21T04:58:00Z</cp:lastPrinted>
  <dcterms:created xsi:type="dcterms:W3CDTF">2019-06-18T08:51:00Z</dcterms:created>
  <dcterms:modified xsi:type="dcterms:W3CDTF">2019-11-08T03:32:00Z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